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2D24" w:rsidRPr="00485364" w:rsidRDefault="00E32D24" w:rsidP="00E32D24">
      <w:pPr>
        <w:jc w:val="center"/>
        <w:rPr>
          <w:rFonts w:asciiTheme="majorHAnsi" w:hAnsiTheme="majorHAnsi"/>
          <w:b/>
        </w:rPr>
      </w:pPr>
      <w:r w:rsidRPr="00485364">
        <w:rPr>
          <w:rFonts w:asciiTheme="majorHAnsi" w:hAnsiTheme="majorHAnsi"/>
          <w:b/>
        </w:rPr>
        <w:t>The Produce Rule and Agricultural Water</w:t>
      </w:r>
    </w:p>
    <w:p w:rsidR="008601FC" w:rsidRPr="00485364" w:rsidRDefault="008601FC" w:rsidP="00EF74CF">
      <w:pPr>
        <w:spacing w:after="0" w:line="305" w:lineRule="atLeast"/>
        <w:rPr>
          <w:rFonts w:asciiTheme="majorHAnsi" w:hAnsiTheme="majorHAnsi" w:cs="Times New Roman"/>
          <w:b/>
          <w:color w:val="000000"/>
        </w:rPr>
      </w:pPr>
    </w:p>
    <w:p w:rsidR="0051260E" w:rsidRPr="00485364" w:rsidRDefault="0051260E" w:rsidP="00EF74CF">
      <w:pPr>
        <w:spacing w:after="0" w:line="305" w:lineRule="atLeast"/>
        <w:rPr>
          <w:rFonts w:asciiTheme="majorHAnsi" w:hAnsiTheme="majorHAnsi" w:cs="Times New Roman"/>
          <w:b/>
          <w:color w:val="000000"/>
        </w:rPr>
      </w:pPr>
      <w:r w:rsidRPr="00485364">
        <w:rPr>
          <w:rFonts w:asciiTheme="majorHAnsi" w:hAnsiTheme="majorHAnsi" w:cs="Times New Roman"/>
          <w:b/>
          <w:color w:val="000000"/>
        </w:rPr>
        <w:t>WHAT WATER IS REGULATED BY THE PRODUCE RULE?</w:t>
      </w:r>
    </w:p>
    <w:p w:rsidR="005F21E2" w:rsidRPr="00485364" w:rsidRDefault="0088626E" w:rsidP="00F0030C">
      <w:pPr>
        <w:rPr>
          <w:rFonts w:asciiTheme="majorHAnsi" w:hAnsiTheme="majorHAnsi"/>
        </w:rPr>
      </w:pPr>
      <w:hyperlink r:id="rId5" w:anchor="p-2032" w:history="1">
        <w:r w:rsidR="0051260E" w:rsidRPr="00485364">
          <w:rPr>
            <w:rFonts w:asciiTheme="majorHAnsi" w:hAnsiTheme="majorHAnsi"/>
          </w:rPr>
          <w:t>FDA defines “agricultural water</w:t>
        </w:r>
      </w:hyperlink>
      <w:r w:rsidR="0051260E" w:rsidRPr="00485364">
        <w:rPr>
          <w:rFonts w:asciiTheme="majorHAnsi" w:hAnsiTheme="majorHAnsi"/>
        </w:rPr>
        <w:t xml:space="preserve">” as “water used in covered </w:t>
      </w:r>
      <w:r w:rsidR="00A549E6" w:rsidRPr="00485364">
        <w:rPr>
          <w:rFonts w:asciiTheme="majorHAnsi" w:hAnsiTheme="majorHAnsi"/>
        </w:rPr>
        <w:t xml:space="preserve">activities (growing, harvesting, packing, or holding covered produce on a farm) </w:t>
      </w:r>
      <w:r w:rsidR="0051260E" w:rsidRPr="00485364">
        <w:rPr>
          <w:rFonts w:asciiTheme="majorHAnsi" w:hAnsiTheme="majorHAnsi"/>
        </w:rPr>
        <w:t>on covered produce</w:t>
      </w:r>
      <w:r w:rsidR="005F21E2" w:rsidRPr="00485364">
        <w:rPr>
          <w:rFonts w:asciiTheme="majorHAnsi" w:hAnsiTheme="majorHAnsi"/>
        </w:rPr>
        <w:t xml:space="preserve"> (see exclusions)</w:t>
      </w:r>
      <w:r w:rsidR="0051260E" w:rsidRPr="00485364">
        <w:rPr>
          <w:rFonts w:asciiTheme="majorHAnsi" w:hAnsiTheme="majorHAnsi"/>
        </w:rPr>
        <w:t xml:space="preserve"> where water is intended to or likely to contact covered produce or food contact surfaces, including</w:t>
      </w:r>
      <w:r w:rsidR="005F21E2" w:rsidRPr="00485364">
        <w:rPr>
          <w:rFonts w:asciiTheme="majorHAnsi" w:hAnsiTheme="majorHAnsi"/>
        </w:rPr>
        <w:t xml:space="preserve"> water used </w:t>
      </w:r>
      <w:r w:rsidR="007065C0" w:rsidRPr="00485364">
        <w:rPr>
          <w:rFonts w:asciiTheme="majorHAnsi" w:hAnsiTheme="majorHAnsi"/>
        </w:rPr>
        <w:t>for</w:t>
      </w:r>
      <w:r w:rsidR="005F21E2" w:rsidRPr="00485364">
        <w:rPr>
          <w:rFonts w:asciiTheme="majorHAnsi" w:hAnsiTheme="majorHAnsi"/>
        </w:rPr>
        <w:t>:</w:t>
      </w:r>
    </w:p>
    <w:p w:rsidR="003316FA" w:rsidRPr="00485364" w:rsidRDefault="005F21E2" w:rsidP="000D091D">
      <w:pPr>
        <w:pStyle w:val="ListParagraph"/>
        <w:numPr>
          <w:ilvl w:val="0"/>
          <w:numId w:val="11"/>
        </w:numPr>
        <w:ind w:left="360"/>
        <w:rPr>
          <w:rFonts w:asciiTheme="majorHAnsi" w:hAnsiTheme="majorHAnsi"/>
        </w:rPr>
      </w:pPr>
      <w:r w:rsidRPr="00485364">
        <w:rPr>
          <w:rFonts w:asciiTheme="majorHAnsi" w:hAnsiTheme="majorHAnsi"/>
          <w:b/>
        </w:rPr>
        <w:t>Harvesting</w:t>
      </w:r>
      <w:r w:rsidR="003316FA" w:rsidRPr="00485364">
        <w:rPr>
          <w:rFonts w:asciiTheme="majorHAnsi" w:hAnsiTheme="majorHAnsi"/>
          <w:b/>
        </w:rPr>
        <w:t xml:space="preserve">, Packing, And Holding Activities, </w:t>
      </w:r>
      <w:r w:rsidRPr="00485364">
        <w:rPr>
          <w:rFonts w:asciiTheme="majorHAnsi" w:hAnsiTheme="majorHAnsi"/>
          <w:b/>
        </w:rPr>
        <w:t>And Growing Sprouts</w:t>
      </w:r>
    </w:p>
    <w:p w:rsidR="003316FA" w:rsidRPr="00485364" w:rsidRDefault="003316FA" w:rsidP="000D091D">
      <w:pPr>
        <w:pStyle w:val="ListParagraph"/>
        <w:numPr>
          <w:ilvl w:val="0"/>
          <w:numId w:val="12"/>
        </w:numPr>
        <w:ind w:left="720"/>
        <w:rPr>
          <w:rFonts w:asciiTheme="majorHAnsi" w:hAnsiTheme="majorHAnsi"/>
        </w:rPr>
      </w:pPr>
      <w:r w:rsidRPr="00485364">
        <w:rPr>
          <w:rFonts w:asciiTheme="majorHAnsi" w:hAnsiTheme="majorHAnsi"/>
        </w:rPr>
        <w:t xml:space="preserve">Hand-washing during harvest/post-harvest handling </w:t>
      </w:r>
    </w:p>
    <w:p w:rsidR="003316FA" w:rsidRPr="00485364" w:rsidRDefault="003316FA" w:rsidP="000D091D">
      <w:pPr>
        <w:pStyle w:val="ListParagraph"/>
        <w:numPr>
          <w:ilvl w:val="0"/>
          <w:numId w:val="12"/>
        </w:numPr>
        <w:ind w:left="720"/>
        <w:rPr>
          <w:rFonts w:asciiTheme="majorHAnsi" w:hAnsiTheme="majorHAnsi"/>
        </w:rPr>
      </w:pPr>
      <w:r w:rsidRPr="00485364">
        <w:rPr>
          <w:rFonts w:asciiTheme="majorHAnsi" w:hAnsiTheme="majorHAnsi"/>
        </w:rPr>
        <w:t>Food</w:t>
      </w:r>
      <w:r w:rsidR="005F21E2" w:rsidRPr="00485364">
        <w:rPr>
          <w:rFonts w:asciiTheme="majorHAnsi" w:hAnsiTheme="majorHAnsi"/>
        </w:rPr>
        <w:t>-contact surfaces</w:t>
      </w:r>
      <w:r w:rsidR="007065C0" w:rsidRPr="00485364">
        <w:rPr>
          <w:rFonts w:asciiTheme="majorHAnsi" w:hAnsiTheme="majorHAnsi"/>
        </w:rPr>
        <w:t xml:space="preserve"> (include</w:t>
      </w:r>
      <w:r w:rsidRPr="00485364">
        <w:rPr>
          <w:rFonts w:asciiTheme="majorHAnsi" w:hAnsiTheme="majorHAnsi"/>
        </w:rPr>
        <w:t xml:space="preserve"> ice)</w:t>
      </w:r>
    </w:p>
    <w:p w:rsidR="003316FA" w:rsidRPr="00485364" w:rsidRDefault="007065C0" w:rsidP="000D091D">
      <w:pPr>
        <w:pStyle w:val="ListParagraph"/>
        <w:numPr>
          <w:ilvl w:val="0"/>
          <w:numId w:val="12"/>
        </w:numPr>
        <w:ind w:left="720"/>
        <w:rPr>
          <w:rFonts w:asciiTheme="majorHAnsi" w:hAnsiTheme="majorHAnsi"/>
        </w:rPr>
      </w:pPr>
      <w:r w:rsidRPr="00485364">
        <w:rPr>
          <w:rFonts w:asciiTheme="majorHAnsi" w:hAnsiTheme="majorHAnsi"/>
        </w:rPr>
        <w:t>Purposes that d</w:t>
      </w:r>
      <w:r w:rsidR="003316FA" w:rsidRPr="00485364">
        <w:rPr>
          <w:rFonts w:asciiTheme="majorHAnsi" w:hAnsiTheme="majorHAnsi"/>
        </w:rPr>
        <w:t>irect</w:t>
      </w:r>
      <w:r w:rsidRPr="00485364">
        <w:rPr>
          <w:rFonts w:asciiTheme="majorHAnsi" w:hAnsiTheme="majorHAnsi"/>
        </w:rPr>
        <w:t>ly</w:t>
      </w:r>
      <w:r w:rsidR="005F21E2" w:rsidRPr="00485364">
        <w:rPr>
          <w:rFonts w:asciiTheme="majorHAnsi" w:hAnsiTheme="majorHAnsi"/>
        </w:rPr>
        <w:t xml:space="preserve"> contact produce</w:t>
      </w:r>
      <w:r w:rsidR="003316FA" w:rsidRPr="00485364">
        <w:rPr>
          <w:rFonts w:asciiTheme="majorHAnsi" w:hAnsiTheme="majorHAnsi"/>
        </w:rPr>
        <w:t xml:space="preserve"> during harvest or post-harvest activities</w:t>
      </w:r>
    </w:p>
    <w:p w:rsidR="003316FA" w:rsidRPr="00485364" w:rsidRDefault="003316FA" w:rsidP="000D091D">
      <w:pPr>
        <w:pStyle w:val="ListParagraph"/>
        <w:numPr>
          <w:ilvl w:val="0"/>
          <w:numId w:val="12"/>
        </w:numPr>
        <w:ind w:left="720"/>
        <w:rPr>
          <w:rFonts w:asciiTheme="majorHAnsi" w:hAnsiTheme="majorHAnsi"/>
        </w:rPr>
      </w:pPr>
      <w:r w:rsidRPr="00485364">
        <w:rPr>
          <w:rFonts w:asciiTheme="majorHAnsi" w:hAnsiTheme="majorHAnsi"/>
        </w:rPr>
        <w:t>For</w:t>
      </w:r>
      <w:r w:rsidR="005F21E2" w:rsidRPr="00485364">
        <w:rPr>
          <w:rFonts w:asciiTheme="majorHAnsi" w:hAnsiTheme="majorHAnsi"/>
        </w:rPr>
        <w:t xml:space="preserve"> sprout irrigation </w:t>
      </w:r>
    </w:p>
    <w:p w:rsidR="003316FA" w:rsidRPr="00485364" w:rsidRDefault="003316FA" w:rsidP="000D091D">
      <w:pPr>
        <w:pStyle w:val="ListParagraph"/>
        <w:numPr>
          <w:ilvl w:val="0"/>
          <w:numId w:val="12"/>
        </w:numPr>
        <w:ind w:left="720"/>
        <w:rPr>
          <w:rFonts w:asciiTheme="majorHAnsi" w:hAnsiTheme="majorHAnsi"/>
        </w:rPr>
      </w:pPr>
      <w:r w:rsidRPr="00485364">
        <w:rPr>
          <w:rFonts w:asciiTheme="majorHAnsi" w:hAnsiTheme="majorHAnsi"/>
        </w:rPr>
        <w:t>For agricultural tea</w:t>
      </w:r>
    </w:p>
    <w:p w:rsidR="005F21E2" w:rsidRPr="00485364" w:rsidRDefault="005F21E2" w:rsidP="000D091D">
      <w:pPr>
        <w:pStyle w:val="ListParagraph"/>
        <w:rPr>
          <w:rFonts w:asciiTheme="majorHAnsi" w:hAnsiTheme="majorHAnsi"/>
        </w:rPr>
      </w:pPr>
    </w:p>
    <w:p w:rsidR="00BB03D7" w:rsidRPr="00485364" w:rsidRDefault="003316FA" w:rsidP="00BB03D7">
      <w:pPr>
        <w:pStyle w:val="ListParagraph"/>
        <w:numPr>
          <w:ilvl w:val="0"/>
          <w:numId w:val="11"/>
        </w:numPr>
        <w:ind w:left="360"/>
        <w:rPr>
          <w:rFonts w:asciiTheme="majorHAnsi" w:hAnsiTheme="majorHAnsi"/>
          <w:b/>
        </w:rPr>
      </w:pPr>
      <w:r w:rsidRPr="00485364">
        <w:rPr>
          <w:rFonts w:asciiTheme="majorHAnsi" w:hAnsiTheme="majorHAnsi"/>
          <w:b/>
        </w:rPr>
        <w:t>Growing Activities</w:t>
      </w:r>
      <w:r w:rsidR="007065C0" w:rsidRPr="00485364">
        <w:rPr>
          <w:rFonts w:asciiTheme="majorHAnsi" w:hAnsiTheme="majorHAnsi"/>
          <w:b/>
        </w:rPr>
        <w:t xml:space="preserve"> (Other Than Sprouts)</w:t>
      </w:r>
      <w:r w:rsidR="00BB03D7" w:rsidRPr="00485364">
        <w:rPr>
          <w:rFonts w:asciiTheme="majorHAnsi" w:hAnsiTheme="majorHAnsi"/>
          <w:b/>
        </w:rPr>
        <w:tab/>
      </w:r>
    </w:p>
    <w:p w:rsidR="005F21E2" w:rsidRPr="00485364" w:rsidRDefault="000D091D" w:rsidP="00BB03D7">
      <w:pPr>
        <w:pStyle w:val="ListParagraph"/>
        <w:ind w:left="360"/>
        <w:rPr>
          <w:rFonts w:asciiTheme="majorHAnsi" w:hAnsiTheme="majorHAnsi"/>
          <w:b/>
        </w:rPr>
      </w:pPr>
      <w:r w:rsidRPr="00485364">
        <w:rPr>
          <w:rFonts w:asciiTheme="majorHAnsi" w:hAnsiTheme="majorHAnsi"/>
          <w:bCs/>
        </w:rPr>
        <w:t xml:space="preserve">- </w:t>
      </w:r>
      <w:r w:rsidR="007065C0" w:rsidRPr="00485364">
        <w:rPr>
          <w:rFonts w:asciiTheme="majorHAnsi" w:hAnsiTheme="majorHAnsi"/>
          <w:bCs/>
        </w:rPr>
        <w:t xml:space="preserve">     W</w:t>
      </w:r>
      <w:r w:rsidRPr="00485364">
        <w:rPr>
          <w:rFonts w:asciiTheme="majorHAnsi" w:hAnsiTheme="majorHAnsi"/>
          <w:bCs/>
        </w:rPr>
        <w:t xml:space="preserve">hen used in a manner that </w:t>
      </w:r>
      <w:r w:rsidR="003316FA" w:rsidRPr="00485364">
        <w:rPr>
          <w:rFonts w:asciiTheme="majorHAnsi" w:hAnsiTheme="majorHAnsi"/>
          <w:bCs/>
        </w:rPr>
        <w:t>d</w:t>
      </w:r>
      <w:r w:rsidR="003316FA" w:rsidRPr="00485364">
        <w:rPr>
          <w:rFonts w:asciiTheme="majorHAnsi" w:hAnsiTheme="majorHAnsi"/>
        </w:rPr>
        <w:t>irectly c</w:t>
      </w:r>
      <w:r w:rsidRPr="00485364">
        <w:rPr>
          <w:rFonts w:asciiTheme="majorHAnsi" w:hAnsiTheme="majorHAnsi"/>
        </w:rPr>
        <w:t xml:space="preserve">ontacts the harvestable portion, </w:t>
      </w:r>
      <w:r w:rsidR="003316FA" w:rsidRPr="00485364">
        <w:rPr>
          <w:rFonts w:asciiTheme="majorHAnsi" w:hAnsiTheme="majorHAnsi"/>
        </w:rPr>
        <w:t>prior to</w:t>
      </w:r>
      <w:r w:rsidRPr="00485364">
        <w:rPr>
          <w:rFonts w:asciiTheme="majorHAnsi" w:hAnsiTheme="majorHAnsi"/>
        </w:rPr>
        <w:t xml:space="preserve"> </w:t>
      </w:r>
      <w:r w:rsidR="003316FA" w:rsidRPr="00485364">
        <w:rPr>
          <w:rFonts w:asciiTheme="majorHAnsi" w:hAnsiTheme="majorHAnsi"/>
        </w:rPr>
        <w:t>harvest. Water used in irrigation methods that do not directly contact the harvestable portion of covered produce are not regulated</w:t>
      </w:r>
      <w:r w:rsidR="006C7DAF">
        <w:rPr>
          <w:rFonts w:asciiTheme="majorHAnsi" w:hAnsiTheme="majorHAnsi"/>
        </w:rPr>
        <w:t>.</w:t>
      </w:r>
      <w:r w:rsidRPr="00485364">
        <w:rPr>
          <w:rFonts w:asciiTheme="majorHAnsi" w:hAnsiTheme="majorHAnsi"/>
        </w:rPr>
        <w:t xml:space="preserve"> </w:t>
      </w:r>
      <w:r w:rsidR="003316FA" w:rsidRPr="00485364">
        <w:rPr>
          <w:rFonts w:asciiTheme="majorHAnsi" w:hAnsiTheme="majorHAnsi"/>
        </w:rPr>
        <w:t>Note - drip irrigation on</w:t>
      </w:r>
      <w:r w:rsidRPr="00485364">
        <w:rPr>
          <w:rFonts w:asciiTheme="majorHAnsi" w:hAnsiTheme="majorHAnsi"/>
        </w:rPr>
        <w:t xml:space="preserve"> carrots </w:t>
      </w:r>
      <w:r w:rsidR="008A0BAE" w:rsidRPr="00485364">
        <w:rPr>
          <w:rFonts w:asciiTheme="majorHAnsi" w:hAnsiTheme="majorHAnsi"/>
        </w:rPr>
        <w:t xml:space="preserve">does </w:t>
      </w:r>
      <w:r w:rsidR="003316FA" w:rsidRPr="00485364">
        <w:rPr>
          <w:rFonts w:asciiTheme="majorHAnsi" w:hAnsiTheme="majorHAnsi"/>
        </w:rPr>
        <w:t xml:space="preserve">directly contact </w:t>
      </w:r>
      <w:r w:rsidRPr="00485364">
        <w:rPr>
          <w:rFonts w:asciiTheme="majorHAnsi" w:hAnsiTheme="majorHAnsi"/>
        </w:rPr>
        <w:t xml:space="preserve">the </w:t>
      </w:r>
      <w:r w:rsidR="003316FA" w:rsidRPr="00485364">
        <w:rPr>
          <w:rFonts w:asciiTheme="majorHAnsi" w:hAnsiTheme="majorHAnsi"/>
        </w:rPr>
        <w:t xml:space="preserve">harvestable portion </w:t>
      </w:r>
      <w:r w:rsidRPr="00485364">
        <w:rPr>
          <w:rFonts w:asciiTheme="majorHAnsi" w:hAnsiTheme="majorHAnsi"/>
        </w:rPr>
        <w:t>and is regulated</w:t>
      </w:r>
      <w:r w:rsidR="007065C0" w:rsidRPr="00485364">
        <w:rPr>
          <w:rFonts w:asciiTheme="majorHAnsi" w:hAnsiTheme="majorHAnsi"/>
        </w:rPr>
        <w:t>.</w:t>
      </w:r>
    </w:p>
    <w:p w:rsidR="00EF74CF" w:rsidRPr="00485364" w:rsidRDefault="0088626E" w:rsidP="00EF74CF">
      <w:pPr>
        <w:spacing w:after="0"/>
        <w:rPr>
          <w:rFonts w:asciiTheme="majorHAnsi" w:hAnsiTheme="majorHAnsi"/>
          <w:szCs w:val="20"/>
        </w:rPr>
      </w:pPr>
      <w:r w:rsidRPr="00485364">
        <w:rPr>
          <w:rFonts w:asciiTheme="majorHAnsi" w:hAnsiTheme="majorHAnsi"/>
          <w:noProof/>
          <w:szCs w:val="20"/>
        </w:rPr>
        <w:pict>
          <v:shapetype id="_x0000_t202" coordsize="21600,21600" o:spt="202" path="m0,0l0,21600,21600,21600,21600,0xe">
            <v:stroke joinstyle="miter"/>
            <v:path gradientshapeok="t" o:connecttype="rect"/>
          </v:shapetype>
          <v:shape id="_x0000_s1040" type="#_x0000_t202" style="position:absolute;margin-left:0;margin-top:2.65pt;width:522pt;height:36.4pt;z-index:251668480;mso-wrap-edited:f;mso-position-horizontal:absolute;mso-position-vertical:absolute" wrapcoords="-31 -440 -31 21159 21631 21159 21631 -440 -31 -440" fillcolor="#f2f2f2 [3052]" strokeweight="1.5pt">
            <v:fill o:detectmouseclick="t"/>
            <v:textbox style="mso-next-textbox:#_x0000_s1040" inset=",7.2pt,,7.2pt">
              <w:txbxContent>
                <w:p w:rsidR="00061A66" w:rsidRPr="00340CC1" w:rsidRDefault="00061A66" w:rsidP="000D091D">
                  <w:pPr>
                    <w:rPr>
                      <w:rFonts w:asciiTheme="majorHAnsi" w:hAnsiTheme="majorHAnsi"/>
                      <w:i/>
                    </w:rPr>
                  </w:pPr>
                  <w:r w:rsidRPr="00340CC1">
                    <w:rPr>
                      <w:rFonts w:asciiTheme="majorHAnsi" w:hAnsiTheme="majorHAnsi"/>
                      <w:i/>
                    </w:rPr>
                    <w:t>In general, “all agricultural water must be safe and of adequate sanitary quality for its intended use.”</w:t>
                  </w:r>
                </w:p>
                <w:p w:rsidR="00061A66" w:rsidRDefault="00061A66" w:rsidP="000D091D"/>
              </w:txbxContent>
            </v:textbox>
            <w10:wrap type="tight"/>
          </v:shape>
        </w:pict>
      </w:r>
    </w:p>
    <w:p w:rsidR="00BA682F" w:rsidRPr="00485364" w:rsidRDefault="00F0030C" w:rsidP="00E32D24">
      <w:pPr>
        <w:rPr>
          <w:rFonts w:asciiTheme="majorHAnsi" w:hAnsiTheme="majorHAnsi"/>
        </w:rPr>
      </w:pPr>
      <w:r w:rsidRPr="00485364">
        <w:rPr>
          <w:rFonts w:asciiTheme="majorHAnsi" w:hAnsiTheme="majorHAnsi"/>
          <w:b/>
        </w:rPr>
        <w:t>WHAT DOES THE WATER QUALITY OF MY AGRICULTUAL WATER NEED TO BE?</w:t>
      </w:r>
      <w:r w:rsidR="00BA682F" w:rsidRPr="00485364">
        <w:rPr>
          <w:rFonts w:asciiTheme="majorHAnsi" w:hAnsiTheme="majorHAnsi"/>
        </w:rPr>
        <w:t xml:space="preserve"> </w:t>
      </w:r>
      <w:r w:rsidR="008A0BAE" w:rsidRPr="00485364">
        <w:rPr>
          <w:rFonts w:asciiTheme="majorHAnsi" w:hAnsiTheme="majorHAnsi"/>
        </w:rPr>
        <w:br/>
      </w:r>
      <w:r w:rsidR="00E32D24" w:rsidRPr="00485364">
        <w:rPr>
          <w:rFonts w:asciiTheme="majorHAnsi" w:hAnsiTheme="majorHAnsi"/>
        </w:rPr>
        <w:t>The final rule establishes two sets of criteria for microbial water quality, both of which are based on the presence of generic E. coli, which can indicate the presence of fecal contamination.</w:t>
      </w:r>
    </w:p>
    <w:p w:rsidR="007065C0" w:rsidRPr="00485364" w:rsidRDefault="007065C0" w:rsidP="007065C0">
      <w:pPr>
        <w:pStyle w:val="ListParagraph"/>
        <w:numPr>
          <w:ilvl w:val="0"/>
          <w:numId w:val="14"/>
        </w:numPr>
        <w:rPr>
          <w:rFonts w:asciiTheme="majorHAnsi" w:hAnsiTheme="majorHAnsi"/>
        </w:rPr>
      </w:pPr>
      <w:r w:rsidRPr="00485364">
        <w:rPr>
          <w:rFonts w:asciiTheme="majorHAnsi" w:hAnsiTheme="majorHAnsi"/>
          <w:b/>
        </w:rPr>
        <w:t>Harvesting, Packing, And Holding Activities, And Growing Sprouts</w:t>
      </w:r>
    </w:p>
    <w:p w:rsidR="00F0030C" w:rsidRPr="00485364" w:rsidRDefault="00E32D24" w:rsidP="008A0BAE">
      <w:pPr>
        <w:rPr>
          <w:rFonts w:asciiTheme="majorHAnsi" w:hAnsiTheme="majorHAnsi"/>
        </w:rPr>
      </w:pPr>
      <w:r w:rsidRPr="00485364">
        <w:rPr>
          <w:rFonts w:asciiTheme="majorHAnsi" w:hAnsiTheme="majorHAnsi"/>
          <w:b/>
        </w:rPr>
        <w:t>WATER QUALITY</w:t>
      </w:r>
      <w:r w:rsidRPr="00485364">
        <w:rPr>
          <w:rFonts w:asciiTheme="majorHAnsi" w:hAnsiTheme="majorHAnsi"/>
        </w:rPr>
        <w:t>: Must be potable, no detectable generic E. coli</w:t>
      </w:r>
      <w:r w:rsidR="00B360B0" w:rsidRPr="00485364">
        <w:rPr>
          <w:rFonts w:asciiTheme="majorHAnsi" w:hAnsiTheme="majorHAnsi"/>
        </w:rPr>
        <w:t xml:space="preserve"> per 100mL.</w:t>
      </w:r>
      <w:r w:rsidR="00C36C65" w:rsidRPr="00485364">
        <w:rPr>
          <w:rFonts w:asciiTheme="majorHAnsi" w:hAnsiTheme="majorHAnsi"/>
        </w:rPr>
        <w:t xml:space="preserve"> The rule prohibits use of untreated surface water for uses that require potable water.  </w:t>
      </w:r>
    </w:p>
    <w:p w:rsidR="000D091D" w:rsidRPr="00485364" w:rsidRDefault="000D091D" w:rsidP="007065C0">
      <w:pPr>
        <w:pStyle w:val="ListParagraph"/>
        <w:numPr>
          <w:ilvl w:val="0"/>
          <w:numId w:val="14"/>
        </w:numPr>
        <w:rPr>
          <w:rFonts w:asciiTheme="majorHAnsi" w:hAnsiTheme="majorHAnsi"/>
          <w:b/>
        </w:rPr>
      </w:pPr>
      <w:r w:rsidRPr="00485364">
        <w:rPr>
          <w:rFonts w:asciiTheme="majorHAnsi" w:hAnsiTheme="majorHAnsi"/>
          <w:b/>
        </w:rPr>
        <w:t>Growing Activities</w:t>
      </w:r>
      <w:r w:rsidR="008A0BAE" w:rsidRPr="00485364">
        <w:rPr>
          <w:rFonts w:asciiTheme="majorHAnsi" w:hAnsiTheme="majorHAnsi"/>
          <w:b/>
        </w:rPr>
        <w:t xml:space="preserve"> (Other Than Sprouts)</w:t>
      </w:r>
    </w:p>
    <w:p w:rsidR="000B6A7C" w:rsidRPr="00485364" w:rsidRDefault="0088626E" w:rsidP="008A0BAE">
      <w:pPr>
        <w:rPr>
          <w:rFonts w:asciiTheme="majorHAnsi" w:hAnsiTheme="majorHAnsi"/>
        </w:rPr>
      </w:pPr>
      <w:r w:rsidRPr="00485364">
        <w:rPr>
          <w:rFonts w:asciiTheme="majorHAnsi" w:hAnsiTheme="majorHAnsi"/>
          <w:b/>
          <w:noProof/>
        </w:rPr>
        <w:pict>
          <v:shape id="_x0000_s1039" type="#_x0000_t202" style="position:absolute;margin-left:342pt;margin-top:23.3pt;width:178.85pt;height:106.85pt;z-index:251667456;mso-wrap-edited:f;mso-position-horizontal:absolute;mso-position-vertical:absolute" wrapcoords="-81 -113 -81 21600 21763 21600 21763 -113 -81 -113" fillcolor="#f2f2f2 [3052]" strokeweight="2.25pt">
            <v:fill o:detectmouseclick="t"/>
            <v:textbox inset=",7.2pt,,7.2pt">
              <w:txbxContent>
                <w:p w:rsidR="00061A66" w:rsidRDefault="00061A66" w:rsidP="00E77352">
                  <w:r>
                    <w:rPr>
                      <w:rFonts w:asciiTheme="majorHAnsi" w:hAnsiTheme="majorHAnsi"/>
                    </w:rPr>
                    <w:t xml:space="preserve">Confused? </w:t>
                  </w:r>
                  <w:r w:rsidRPr="00A87933">
                    <w:rPr>
                      <w:rFonts w:asciiTheme="majorHAnsi" w:hAnsiTheme="majorHAnsi"/>
                    </w:rPr>
                    <w:t>The FDA is exploring the development of an online tool that farms can use to input their water sample data to calculate the GM, STV, and die-off valu</w:t>
                  </w:r>
                  <w:r>
                    <w:rPr>
                      <w:rFonts w:asciiTheme="majorHAnsi" w:hAnsiTheme="majorHAnsi"/>
                    </w:rPr>
                    <w:t>es.</w:t>
                  </w:r>
                </w:p>
              </w:txbxContent>
            </v:textbox>
            <w10:wrap type="tight"/>
          </v:shape>
        </w:pict>
      </w:r>
      <w:r w:rsidR="00C36C65" w:rsidRPr="00485364">
        <w:rPr>
          <w:rFonts w:asciiTheme="majorHAnsi" w:hAnsiTheme="majorHAnsi"/>
          <w:b/>
        </w:rPr>
        <w:t>WATER QUALITY</w:t>
      </w:r>
      <w:r w:rsidR="00C36C65" w:rsidRPr="00485364">
        <w:rPr>
          <w:rFonts w:asciiTheme="majorHAnsi" w:hAnsiTheme="majorHAnsi"/>
        </w:rPr>
        <w:t xml:space="preserve">: The criteria are based on two values, the geometric mean (GM) and the statistical threshold (STV). </w:t>
      </w:r>
    </w:p>
    <w:p w:rsidR="000B6A7C" w:rsidRPr="00485364" w:rsidRDefault="000B6A7C" w:rsidP="000B6A7C">
      <w:pPr>
        <w:pStyle w:val="ListParagraph"/>
        <w:numPr>
          <w:ilvl w:val="0"/>
          <w:numId w:val="7"/>
        </w:numPr>
        <w:ind w:left="360"/>
        <w:rPr>
          <w:rFonts w:asciiTheme="majorHAnsi" w:hAnsiTheme="majorHAnsi"/>
        </w:rPr>
      </w:pPr>
      <w:r w:rsidRPr="00485364">
        <w:rPr>
          <w:rFonts w:asciiTheme="majorHAnsi" w:hAnsiTheme="majorHAnsi"/>
        </w:rPr>
        <w:t xml:space="preserve">A geometric mean (GM) of your agricultural water samples of 126 or less colony forming units (CFU) of generic E. coli per 100 </w:t>
      </w:r>
      <w:proofErr w:type="spellStart"/>
      <w:r w:rsidRPr="00485364">
        <w:rPr>
          <w:rFonts w:asciiTheme="majorHAnsi" w:hAnsiTheme="majorHAnsi"/>
        </w:rPr>
        <w:t>mL</w:t>
      </w:r>
      <w:proofErr w:type="spellEnd"/>
      <w:r w:rsidRPr="00485364">
        <w:rPr>
          <w:rFonts w:asciiTheme="majorHAnsi" w:hAnsiTheme="majorHAnsi"/>
        </w:rPr>
        <w:t xml:space="preserve"> of water; and</w:t>
      </w:r>
    </w:p>
    <w:p w:rsidR="00C36C65" w:rsidRPr="00485364" w:rsidRDefault="000B6A7C" w:rsidP="00C36C65">
      <w:pPr>
        <w:pStyle w:val="ListParagraph"/>
        <w:numPr>
          <w:ilvl w:val="0"/>
          <w:numId w:val="7"/>
        </w:numPr>
        <w:ind w:left="360"/>
        <w:rPr>
          <w:rFonts w:asciiTheme="majorHAnsi" w:hAnsiTheme="majorHAnsi"/>
        </w:rPr>
      </w:pPr>
      <w:r w:rsidRPr="00485364">
        <w:rPr>
          <w:rFonts w:asciiTheme="majorHAnsi" w:hAnsiTheme="majorHAnsi"/>
        </w:rPr>
        <w:t xml:space="preserve">A statistical threshold value (STV) of your agricultural water samples of 410 or less CFU of generic E. coli per 100 </w:t>
      </w:r>
      <w:proofErr w:type="spellStart"/>
      <w:r w:rsidRPr="00485364">
        <w:rPr>
          <w:rFonts w:asciiTheme="majorHAnsi" w:hAnsiTheme="majorHAnsi"/>
        </w:rPr>
        <w:t>mL</w:t>
      </w:r>
      <w:proofErr w:type="spellEnd"/>
      <w:r w:rsidRPr="00485364">
        <w:rPr>
          <w:rFonts w:asciiTheme="majorHAnsi" w:hAnsiTheme="majorHAnsi"/>
        </w:rPr>
        <w:t xml:space="preserve"> of water.</w:t>
      </w:r>
    </w:p>
    <w:p w:rsidR="00C36C65" w:rsidRPr="00485364" w:rsidRDefault="0088626E" w:rsidP="00C36C65">
      <w:pPr>
        <w:rPr>
          <w:rFonts w:asciiTheme="majorHAnsi" w:hAnsiTheme="majorHAnsi"/>
        </w:rPr>
      </w:pPr>
      <w:hyperlink r:id="rId6" w:history="1">
        <w:r w:rsidR="00C36C65" w:rsidRPr="00485364">
          <w:rPr>
            <w:rFonts w:asciiTheme="majorHAnsi" w:hAnsiTheme="majorHAnsi"/>
          </w:rPr>
          <w:t>As FDA explains it:</w:t>
        </w:r>
      </w:hyperlink>
      <w:r w:rsidR="00C36C65" w:rsidRPr="00485364">
        <w:rPr>
          <w:rFonts w:asciiTheme="majorHAnsi" w:hAnsiTheme="majorHAnsi"/>
        </w:rPr>
        <w:t> “the GM measures what is called the central tendency, which is essentially the average amount of generic E. coli in a water source. The STV reflects the amount of variation in the E. coli levels, which can be caused by events such as a heavy rainfall. It measures expected deviations from the average for a water source. Collectively, both pieces of information provide a more complete description of your water quality than either one alone.”</w:t>
      </w:r>
    </w:p>
    <w:p w:rsidR="00A87933" w:rsidRPr="00485364" w:rsidRDefault="00A87933" w:rsidP="00A87933">
      <w:pPr>
        <w:rPr>
          <w:rFonts w:asciiTheme="majorHAnsi" w:hAnsiTheme="majorHAnsi"/>
        </w:rPr>
      </w:pPr>
      <w:r w:rsidRPr="00485364">
        <w:rPr>
          <w:rFonts w:asciiTheme="majorHAnsi" w:hAnsiTheme="majorHAnsi"/>
          <w:b/>
        </w:rPr>
        <w:t>HOW OFTEN MUST I TEST</w:t>
      </w:r>
      <w:r w:rsidR="00F0030C" w:rsidRPr="00485364">
        <w:rPr>
          <w:rFonts w:asciiTheme="majorHAnsi" w:hAnsiTheme="majorHAnsi"/>
          <w:b/>
        </w:rPr>
        <w:t xml:space="preserve"> MY WATER?</w:t>
      </w:r>
      <w:r w:rsidRPr="00485364">
        <w:rPr>
          <w:rFonts w:asciiTheme="majorHAnsi" w:hAnsiTheme="majorHAnsi"/>
        </w:rPr>
        <w:t xml:space="preserve"> Frequency is based on the type of water source and it’s use.</w:t>
      </w:r>
    </w:p>
    <w:p w:rsidR="000B6A7C" w:rsidRPr="00485364" w:rsidRDefault="000B6A7C" w:rsidP="00A50500">
      <w:pPr>
        <w:rPr>
          <w:rFonts w:asciiTheme="majorHAnsi" w:hAnsiTheme="majorHAnsi"/>
          <w:b/>
        </w:rPr>
      </w:pPr>
      <w:r w:rsidRPr="00485364">
        <w:rPr>
          <w:rFonts w:asciiTheme="majorHAnsi" w:hAnsiTheme="majorHAnsi"/>
          <w:b/>
        </w:rPr>
        <w:t xml:space="preserve">- </w:t>
      </w:r>
      <w:r w:rsidR="00A50500" w:rsidRPr="00485364">
        <w:rPr>
          <w:rFonts w:asciiTheme="majorHAnsi" w:hAnsiTheme="majorHAnsi"/>
          <w:b/>
        </w:rPr>
        <w:t>PUBLIC WATER SYSTEMS</w:t>
      </w:r>
    </w:p>
    <w:p w:rsidR="00A50500" w:rsidRPr="00485364" w:rsidRDefault="00A50500" w:rsidP="00A50500">
      <w:pPr>
        <w:rPr>
          <w:rFonts w:asciiTheme="majorHAnsi" w:hAnsiTheme="majorHAnsi"/>
          <w:color w:val="333333"/>
          <w:szCs w:val="23"/>
        </w:rPr>
      </w:pPr>
      <w:r w:rsidRPr="00485364">
        <w:rPr>
          <w:rFonts w:asciiTheme="majorHAnsi" w:hAnsiTheme="majorHAnsi"/>
        </w:rPr>
        <w:t>There is no requirement to test agricultural water that is received from public water systems or supplies that meet requirements established in the rule (provided that the farm has Public Water System results or certificates of compliance demonstrating that the water meets relevant requirements), or if the water is treated in compliance with the rule’s treatment requirements.</w:t>
      </w:r>
    </w:p>
    <w:p w:rsidR="000B6A7C" w:rsidRPr="00485364" w:rsidRDefault="000B6A7C" w:rsidP="00E32D24">
      <w:pPr>
        <w:rPr>
          <w:rFonts w:asciiTheme="majorHAnsi" w:hAnsiTheme="majorHAnsi"/>
        </w:rPr>
      </w:pPr>
      <w:r w:rsidRPr="00485364">
        <w:rPr>
          <w:rFonts w:asciiTheme="majorHAnsi" w:hAnsiTheme="majorHAnsi"/>
          <w:b/>
        </w:rPr>
        <w:t xml:space="preserve">- </w:t>
      </w:r>
      <w:r w:rsidR="00E32D24" w:rsidRPr="00485364">
        <w:rPr>
          <w:rFonts w:asciiTheme="majorHAnsi" w:hAnsiTheme="majorHAnsi"/>
          <w:b/>
        </w:rPr>
        <w:t>UNTREATED GROUND WATER</w:t>
      </w:r>
      <w:r w:rsidR="00E32D24" w:rsidRPr="00485364">
        <w:rPr>
          <w:rFonts w:asciiTheme="majorHAnsi" w:hAnsiTheme="majorHAnsi"/>
        </w:rPr>
        <w:t xml:space="preserve"> </w:t>
      </w:r>
    </w:p>
    <w:p w:rsidR="007065C0" w:rsidRPr="00485364" w:rsidRDefault="008601FC" w:rsidP="007065C0">
      <w:pPr>
        <w:rPr>
          <w:rFonts w:asciiTheme="majorHAnsi" w:hAnsiTheme="majorHAnsi"/>
        </w:rPr>
      </w:pPr>
      <w:r w:rsidRPr="00485364">
        <w:rPr>
          <w:rFonts w:asciiTheme="majorHAnsi" w:hAnsiTheme="majorHAnsi"/>
          <w:b/>
        </w:rPr>
        <w:t xml:space="preserve">1. </w:t>
      </w:r>
      <w:r w:rsidR="007065C0" w:rsidRPr="00485364">
        <w:rPr>
          <w:rFonts w:asciiTheme="majorHAnsi" w:hAnsiTheme="majorHAnsi"/>
          <w:b/>
        </w:rPr>
        <w:t>Harvesting, Packing, And Holding Activities, And Growing Sprouts</w:t>
      </w:r>
    </w:p>
    <w:p w:rsidR="00E32D24" w:rsidRPr="00485364" w:rsidRDefault="00E32D24" w:rsidP="00E32D24">
      <w:pPr>
        <w:rPr>
          <w:rFonts w:asciiTheme="majorHAnsi" w:hAnsiTheme="majorHAnsi"/>
        </w:rPr>
      </w:pPr>
      <w:r w:rsidRPr="00485364">
        <w:rPr>
          <w:rFonts w:asciiTheme="majorHAnsi" w:hAnsiTheme="majorHAnsi"/>
        </w:rPr>
        <w:t>For water that is used for the purposes for which no detectable generic E. coli is allowed</w:t>
      </w:r>
      <w:r w:rsidR="000A09DB" w:rsidRPr="00485364">
        <w:rPr>
          <w:rFonts w:asciiTheme="majorHAnsi" w:hAnsiTheme="majorHAnsi"/>
        </w:rPr>
        <w:t>,</w:t>
      </w:r>
      <w:r w:rsidR="000B6A7C" w:rsidRPr="00485364">
        <w:rPr>
          <w:rFonts w:asciiTheme="majorHAnsi" w:hAnsiTheme="majorHAnsi"/>
        </w:rPr>
        <w:t xml:space="preserve"> </w:t>
      </w:r>
      <w:r w:rsidRPr="00485364">
        <w:rPr>
          <w:rFonts w:asciiTheme="majorHAnsi" w:hAnsiTheme="majorHAnsi"/>
        </w:rPr>
        <w:t>the FDA requires farms to initially test the untreated ground water at least four times during the growing season or over a period of one year. Farms must determine whether the water can be used for that purpose based on these results. </w:t>
      </w:r>
    </w:p>
    <w:p w:rsidR="000B6A7C" w:rsidRPr="00485364" w:rsidRDefault="00E32D24" w:rsidP="00E32D24">
      <w:pPr>
        <w:rPr>
          <w:rFonts w:asciiTheme="majorHAnsi" w:hAnsiTheme="majorHAnsi"/>
        </w:rPr>
      </w:pPr>
      <w:r w:rsidRPr="00485364">
        <w:rPr>
          <w:rFonts w:asciiTheme="majorHAnsi" w:hAnsiTheme="majorHAnsi"/>
        </w:rPr>
        <w:t>If the four initial sample results meet the no detectable generic E. coli criterion, testing can be done once annually thereafter, using a minimum of one sample. Farms must resume testing at least four times per growing season or year if any annual test fails to meet the microbial quality criterion.</w:t>
      </w:r>
    </w:p>
    <w:p w:rsidR="000B6A7C" w:rsidRPr="00485364" w:rsidRDefault="008601FC" w:rsidP="007065C0">
      <w:pPr>
        <w:rPr>
          <w:rFonts w:asciiTheme="majorHAnsi" w:hAnsiTheme="majorHAnsi"/>
          <w:b/>
        </w:rPr>
      </w:pPr>
      <w:r w:rsidRPr="00485364">
        <w:rPr>
          <w:rFonts w:asciiTheme="majorHAnsi" w:hAnsiTheme="majorHAnsi"/>
          <w:b/>
        </w:rPr>
        <w:t xml:space="preserve">2. </w:t>
      </w:r>
      <w:bookmarkStart w:id="0" w:name="OLE_LINK2"/>
      <w:r w:rsidR="007065C0" w:rsidRPr="00485364">
        <w:rPr>
          <w:rFonts w:asciiTheme="majorHAnsi" w:hAnsiTheme="majorHAnsi"/>
          <w:b/>
        </w:rPr>
        <w:t xml:space="preserve">Growing Activities </w:t>
      </w:r>
      <w:r w:rsidRPr="00485364">
        <w:rPr>
          <w:rFonts w:asciiTheme="majorHAnsi" w:hAnsiTheme="majorHAnsi"/>
          <w:b/>
        </w:rPr>
        <w:t xml:space="preserve">(Other Than Sprouts): </w:t>
      </w:r>
      <w:r w:rsidRPr="00485364">
        <w:rPr>
          <w:rFonts w:asciiTheme="majorHAnsi" w:hAnsiTheme="majorHAnsi"/>
        </w:rPr>
        <w:t>T</w:t>
      </w:r>
      <w:r w:rsidR="000B6A7C" w:rsidRPr="00485364">
        <w:rPr>
          <w:rFonts w:asciiTheme="majorHAnsi" w:hAnsiTheme="majorHAnsi"/>
        </w:rPr>
        <w:t>he FDA requires farms to do an initial survey, using a minimum of four samples, collected as close as is practicable to harvest, during the growing season or over a period of one year. The initial survey findings are used to calculate the GM and STV and determine if the water meets the required microbial quality criteria.</w:t>
      </w:r>
    </w:p>
    <w:p w:rsidR="00E32D24" w:rsidRPr="00485364" w:rsidRDefault="000B6A7C" w:rsidP="000B6A7C">
      <w:pPr>
        <w:rPr>
          <w:rFonts w:asciiTheme="majorHAnsi" w:hAnsiTheme="majorHAnsi"/>
        </w:rPr>
      </w:pPr>
      <w:r w:rsidRPr="00485364">
        <w:rPr>
          <w:rFonts w:asciiTheme="majorHAnsi" w:hAnsiTheme="majorHAnsi"/>
        </w:rPr>
        <w:t xml:space="preserve">After the initial survey has been conducted, an annual survey of a minimum of one sample per year is required to update the calculations of GM and STV. The new </w:t>
      </w:r>
      <w:proofErr w:type="gramStart"/>
      <w:r w:rsidRPr="00485364">
        <w:rPr>
          <w:rFonts w:asciiTheme="majorHAnsi" w:hAnsiTheme="majorHAnsi"/>
        </w:rPr>
        <w:t>sample, plus the previous most recent three samples, create</w:t>
      </w:r>
      <w:proofErr w:type="gramEnd"/>
      <w:r w:rsidRPr="00485364">
        <w:rPr>
          <w:rFonts w:asciiTheme="majorHAnsi" w:hAnsiTheme="majorHAnsi"/>
        </w:rPr>
        <w:t xml:space="preserve"> a rolling dataset of four samples for use in confirming that that the water is still used appropriately by recalculating the GM and STV.</w:t>
      </w:r>
    </w:p>
    <w:bookmarkEnd w:id="0"/>
    <w:p w:rsidR="000B6A7C" w:rsidRPr="00485364" w:rsidRDefault="000B6A7C" w:rsidP="00E32D24">
      <w:pPr>
        <w:rPr>
          <w:rFonts w:asciiTheme="majorHAnsi" w:hAnsiTheme="majorHAnsi"/>
          <w:b/>
        </w:rPr>
      </w:pPr>
      <w:r w:rsidRPr="00485364">
        <w:rPr>
          <w:rFonts w:asciiTheme="majorHAnsi" w:hAnsiTheme="majorHAnsi"/>
          <w:b/>
        </w:rPr>
        <w:t xml:space="preserve">- </w:t>
      </w:r>
      <w:r w:rsidR="00E32D24" w:rsidRPr="00485364">
        <w:rPr>
          <w:rFonts w:asciiTheme="majorHAnsi" w:hAnsiTheme="majorHAnsi"/>
          <w:b/>
        </w:rPr>
        <w:t>UNTREATED SURFACE WATER</w:t>
      </w:r>
    </w:p>
    <w:p w:rsidR="0070064B" w:rsidRPr="00485364" w:rsidRDefault="00F0030C" w:rsidP="00E32D24">
      <w:pPr>
        <w:rPr>
          <w:rFonts w:asciiTheme="majorHAnsi" w:hAnsiTheme="majorHAnsi"/>
        </w:rPr>
      </w:pPr>
      <w:r w:rsidRPr="00485364">
        <w:rPr>
          <w:rFonts w:asciiTheme="majorHAnsi" w:hAnsiTheme="majorHAnsi"/>
          <w:b/>
        </w:rPr>
        <w:t xml:space="preserve">1. </w:t>
      </w:r>
      <w:r w:rsidR="007065C0" w:rsidRPr="00485364">
        <w:rPr>
          <w:rFonts w:asciiTheme="majorHAnsi" w:hAnsiTheme="majorHAnsi"/>
          <w:b/>
        </w:rPr>
        <w:t>Harvesting, Packing, And Holding Activities, And Growing Sprouts</w:t>
      </w:r>
      <w:r w:rsidR="007065C0" w:rsidRPr="00485364">
        <w:rPr>
          <w:rFonts w:asciiTheme="majorHAnsi" w:hAnsiTheme="majorHAnsi"/>
        </w:rPr>
        <w:t xml:space="preserve">: </w:t>
      </w:r>
      <w:r w:rsidR="00E32D24" w:rsidRPr="00485364">
        <w:rPr>
          <w:rFonts w:asciiTheme="majorHAnsi" w:hAnsiTheme="majorHAnsi"/>
        </w:rPr>
        <w:t xml:space="preserve">The rule prohibits use of untreated surface water for </w:t>
      </w:r>
      <w:r w:rsidR="00691CD8" w:rsidRPr="00485364">
        <w:rPr>
          <w:rFonts w:asciiTheme="majorHAnsi" w:hAnsiTheme="majorHAnsi"/>
        </w:rPr>
        <w:t>uses that require potable water</w:t>
      </w:r>
      <w:r w:rsidR="00E32D24" w:rsidRPr="00485364">
        <w:rPr>
          <w:rFonts w:asciiTheme="majorHAnsi" w:hAnsiTheme="majorHAnsi"/>
        </w:rPr>
        <w:t>.  </w:t>
      </w:r>
    </w:p>
    <w:p w:rsidR="000B6A7C" w:rsidRPr="00485364" w:rsidRDefault="00F0030C" w:rsidP="007065C0">
      <w:pPr>
        <w:rPr>
          <w:rFonts w:asciiTheme="majorHAnsi" w:hAnsiTheme="majorHAnsi"/>
        </w:rPr>
      </w:pPr>
      <w:r w:rsidRPr="00485364">
        <w:rPr>
          <w:rFonts w:asciiTheme="majorHAnsi" w:hAnsiTheme="majorHAnsi"/>
          <w:b/>
        </w:rPr>
        <w:t xml:space="preserve">2. </w:t>
      </w:r>
      <w:r w:rsidR="007065C0" w:rsidRPr="00485364">
        <w:rPr>
          <w:rFonts w:asciiTheme="majorHAnsi" w:hAnsiTheme="majorHAnsi"/>
          <w:b/>
        </w:rPr>
        <w:t xml:space="preserve">Growing Activities </w:t>
      </w:r>
      <w:r w:rsidRPr="00485364">
        <w:rPr>
          <w:rFonts w:asciiTheme="majorHAnsi" w:hAnsiTheme="majorHAnsi"/>
          <w:b/>
        </w:rPr>
        <w:t xml:space="preserve">(Other Than Sprouts): </w:t>
      </w:r>
      <w:r w:rsidR="007065C0" w:rsidRPr="00485364">
        <w:rPr>
          <w:rFonts w:asciiTheme="majorHAnsi" w:hAnsiTheme="majorHAnsi"/>
        </w:rPr>
        <w:t>Untreated ground water is c</w:t>
      </w:r>
      <w:r w:rsidR="000B6A7C" w:rsidRPr="00485364">
        <w:rPr>
          <w:rFonts w:asciiTheme="majorHAnsi" w:hAnsiTheme="majorHAnsi"/>
        </w:rPr>
        <w:t>onsidered the most vulnerable to external influences—that is directly applied to growin</w:t>
      </w:r>
      <w:r w:rsidR="007065C0" w:rsidRPr="00485364">
        <w:rPr>
          <w:rFonts w:asciiTheme="majorHAnsi" w:hAnsiTheme="majorHAnsi"/>
        </w:rPr>
        <w:t>g produce (other than sprouts). T</w:t>
      </w:r>
      <w:r w:rsidR="000B6A7C" w:rsidRPr="00485364">
        <w:rPr>
          <w:rFonts w:asciiTheme="majorHAnsi" w:hAnsiTheme="majorHAnsi"/>
        </w:rPr>
        <w:t>he FDA requires farms to do an initial survey, using a minimum of 20 samples, collected as close as is practicable to harvest over the course of two to four years. The initial survey findings are used to calculate the GM and STV (these two figures are referred to as the “microbial water quality profile”) and determine if the water meets the required microbial quality criteria. </w:t>
      </w:r>
    </w:p>
    <w:p w:rsidR="000B6A7C" w:rsidRPr="00485364" w:rsidRDefault="000B6A7C" w:rsidP="000B6A7C">
      <w:pPr>
        <w:rPr>
          <w:rFonts w:asciiTheme="majorHAnsi" w:hAnsiTheme="majorHAnsi"/>
        </w:rPr>
      </w:pPr>
      <w:r w:rsidRPr="00485364">
        <w:rPr>
          <w:rFonts w:asciiTheme="majorHAnsi" w:hAnsiTheme="majorHAnsi"/>
        </w:rPr>
        <w:t> After the initial survey has been conducted, an annual survey of a minimum of five samples per year is required to update the calculations of GM and STV.</w:t>
      </w:r>
    </w:p>
    <w:p w:rsidR="000B6A7C" w:rsidRPr="00485364" w:rsidRDefault="000B6A7C" w:rsidP="000B6A7C">
      <w:pPr>
        <w:rPr>
          <w:rFonts w:asciiTheme="majorHAnsi" w:hAnsiTheme="majorHAnsi"/>
        </w:rPr>
      </w:pPr>
      <w:r w:rsidRPr="00485364">
        <w:rPr>
          <w:rFonts w:asciiTheme="majorHAnsi" w:hAnsiTheme="majorHAnsi"/>
        </w:rPr>
        <w:t>The five new samples, plus the previous most recent 15 samples, create a rolling dataset of 20 samples for use in confirming that that the water is still used appropriately by recalculating the GM and STV.</w:t>
      </w:r>
    </w:p>
    <w:p w:rsidR="000B6A7C" w:rsidRPr="00485364" w:rsidRDefault="000B6A7C" w:rsidP="000B6A7C">
      <w:pPr>
        <w:rPr>
          <w:rFonts w:asciiTheme="majorHAnsi" w:hAnsiTheme="majorHAnsi"/>
        </w:rPr>
      </w:pPr>
      <w:r w:rsidRPr="00485364">
        <w:rPr>
          <w:rFonts w:asciiTheme="majorHAnsi" w:hAnsiTheme="majorHAnsi"/>
        </w:rPr>
        <w:t>NOTE: if you apply water from multiple surface water sources they each need the full testing regime. If you draw from several points on the same water source, you do not need to test at each point,</w:t>
      </w:r>
      <w:r w:rsidR="00F0030C" w:rsidRPr="00485364">
        <w:rPr>
          <w:rFonts w:asciiTheme="majorHAnsi" w:hAnsiTheme="majorHAnsi"/>
        </w:rPr>
        <w:t xml:space="preserve"> as long as there is nothing </w:t>
      </w:r>
      <w:r w:rsidRPr="00485364">
        <w:rPr>
          <w:rFonts w:asciiTheme="majorHAnsi" w:hAnsiTheme="majorHAnsi"/>
        </w:rPr>
        <w:t>between the points that would alter the water quality.</w:t>
      </w:r>
    </w:p>
    <w:p w:rsidR="0012653B" w:rsidRPr="00485364" w:rsidRDefault="0012653B" w:rsidP="0012653B">
      <w:pPr>
        <w:rPr>
          <w:rFonts w:asciiTheme="majorHAnsi" w:hAnsiTheme="majorHAnsi"/>
        </w:rPr>
      </w:pPr>
      <w:r w:rsidRPr="00485364">
        <w:rPr>
          <w:rFonts w:asciiTheme="majorHAnsi" w:hAnsiTheme="majorHAnsi"/>
          <w:b/>
        </w:rPr>
        <w:t xml:space="preserve">- </w:t>
      </w:r>
      <w:r w:rsidR="008D161B" w:rsidRPr="00485364">
        <w:rPr>
          <w:rFonts w:asciiTheme="majorHAnsi" w:hAnsiTheme="majorHAnsi"/>
          <w:b/>
        </w:rPr>
        <w:t xml:space="preserve">TREATED WATER: </w:t>
      </w:r>
      <w:r w:rsidR="00B360B0" w:rsidRPr="00485364">
        <w:rPr>
          <w:rFonts w:asciiTheme="majorHAnsi" w:hAnsiTheme="majorHAnsi"/>
        </w:rPr>
        <w:t>Seek further guidance</w:t>
      </w:r>
      <w:r w:rsidR="00604FDD" w:rsidRPr="00485364">
        <w:rPr>
          <w:rFonts w:asciiTheme="majorHAnsi" w:hAnsiTheme="majorHAnsi"/>
        </w:rPr>
        <w:t xml:space="preserve"> (</w:t>
      </w:r>
      <w:hyperlink r:id="rId7" w:history="1">
        <w:r w:rsidR="00604FDD" w:rsidRPr="00485364">
          <w:rPr>
            <w:rStyle w:val="Hyperlink"/>
            <w:rFonts w:asciiTheme="majorHAnsi" w:hAnsiTheme="majorHAnsi"/>
          </w:rPr>
          <w:t>http://sustainableagriculture.net/</w:t>
        </w:r>
      </w:hyperlink>
      <w:proofErr w:type="gramStart"/>
      <w:r w:rsidR="00604FDD" w:rsidRPr="00485364">
        <w:rPr>
          <w:rFonts w:asciiTheme="majorHAnsi" w:hAnsiTheme="majorHAnsi"/>
        </w:rPr>
        <w:t xml:space="preserve"> )</w:t>
      </w:r>
      <w:proofErr w:type="gramEnd"/>
    </w:p>
    <w:p w:rsidR="008A4A82" w:rsidRPr="00485364" w:rsidRDefault="008A4A82" w:rsidP="00C36C65">
      <w:pPr>
        <w:rPr>
          <w:rFonts w:asciiTheme="majorHAnsi" w:hAnsiTheme="majorHAnsi"/>
          <w:b/>
        </w:rPr>
      </w:pPr>
    </w:p>
    <w:p w:rsidR="000B6A7C" w:rsidRPr="00485364" w:rsidRDefault="0070064B" w:rsidP="00C36C65">
      <w:pPr>
        <w:rPr>
          <w:rFonts w:asciiTheme="majorHAnsi" w:hAnsiTheme="majorHAnsi"/>
          <w:b/>
        </w:rPr>
      </w:pPr>
      <w:r w:rsidRPr="00485364">
        <w:rPr>
          <w:rFonts w:asciiTheme="majorHAnsi" w:hAnsiTheme="majorHAnsi"/>
          <w:b/>
        </w:rPr>
        <w:t xml:space="preserve">IF </w:t>
      </w:r>
      <w:r w:rsidR="00B45EC8" w:rsidRPr="00485364">
        <w:rPr>
          <w:rFonts w:asciiTheme="majorHAnsi" w:hAnsiTheme="majorHAnsi"/>
          <w:b/>
        </w:rPr>
        <w:t xml:space="preserve">THE </w:t>
      </w:r>
      <w:r w:rsidRPr="00485364">
        <w:rPr>
          <w:rFonts w:asciiTheme="majorHAnsi" w:hAnsiTheme="majorHAnsi"/>
          <w:b/>
        </w:rPr>
        <w:t xml:space="preserve">WATER DOES NOT MEET </w:t>
      </w:r>
      <w:r w:rsidR="007065C0" w:rsidRPr="00485364">
        <w:rPr>
          <w:rFonts w:asciiTheme="majorHAnsi" w:hAnsiTheme="majorHAnsi"/>
          <w:b/>
        </w:rPr>
        <w:t xml:space="preserve">THE </w:t>
      </w:r>
      <w:r w:rsidRPr="00485364">
        <w:rPr>
          <w:rFonts w:asciiTheme="majorHAnsi" w:hAnsiTheme="majorHAnsi"/>
          <w:b/>
        </w:rPr>
        <w:t>CRITERIA:</w:t>
      </w:r>
      <w:r w:rsidRPr="00485364">
        <w:rPr>
          <w:rFonts w:asciiTheme="majorHAnsi" w:hAnsiTheme="majorHAnsi"/>
        </w:rPr>
        <w:t xml:space="preserve"> </w:t>
      </w:r>
      <w:r w:rsidR="000A09DB" w:rsidRPr="00485364">
        <w:rPr>
          <w:rFonts w:asciiTheme="majorHAnsi" w:hAnsiTheme="majorHAnsi"/>
          <w:b/>
        </w:rPr>
        <w:t>WHAT SHOULD I DO?</w:t>
      </w:r>
    </w:p>
    <w:p w:rsidR="007065C0" w:rsidRPr="00485364" w:rsidRDefault="008601FC" w:rsidP="007065C0">
      <w:pPr>
        <w:rPr>
          <w:rFonts w:asciiTheme="majorHAnsi" w:hAnsiTheme="majorHAnsi"/>
        </w:rPr>
      </w:pPr>
      <w:r w:rsidRPr="00485364">
        <w:rPr>
          <w:rFonts w:asciiTheme="majorHAnsi" w:hAnsiTheme="majorHAnsi"/>
          <w:b/>
        </w:rPr>
        <w:t xml:space="preserve">1. </w:t>
      </w:r>
      <w:r w:rsidR="007065C0" w:rsidRPr="00485364">
        <w:rPr>
          <w:rFonts w:asciiTheme="majorHAnsi" w:hAnsiTheme="majorHAnsi"/>
          <w:b/>
        </w:rPr>
        <w:t>Harvesting, Packing, And Holding Activities, And Growing Sprouts</w:t>
      </w:r>
    </w:p>
    <w:p w:rsidR="00485364" w:rsidRPr="00485364" w:rsidRDefault="00485364" w:rsidP="00485364">
      <w:pPr>
        <w:rPr>
          <w:rFonts w:asciiTheme="majorHAnsi" w:hAnsiTheme="majorHAnsi"/>
        </w:rPr>
      </w:pPr>
      <w:r w:rsidRPr="00485364">
        <w:rPr>
          <w:rFonts w:asciiTheme="majorHAnsi" w:hAnsiTheme="majorHAnsi"/>
        </w:rPr>
        <w:t xml:space="preserve">1. </w:t>
      </w:r>
      <w:r w:rsidR="008A4A82" w:rsidRPr="00485364">
        <w:rPr>
          <w:rFonts w:asciiTheme="majorHAnsi" w:hAnsiTheme="majorHAnsi"/>
        </w:rPr>
        <w:t>Stop using the water source until you re-inspect your water distribution system to see if you can determine what’s wrong, rectify it, and then verify that your action was effective to bring the water back under the threshold; or</w:t>
      </w:r>
    </w:p>
    <w:p w:rsidR="00485364" w:rsidRPr="00485364" w:rsidRDefault="00485364" w:rsidP="00485364">
      <w:pPr>
        <w:rPr>
          <w:rFonts w:asciiTheme="majorHAnsi" w:hAnsiTheme="majorHAnsi"/>
        </w:rPr>
      </w:pPr>
      <w:r w:rsidRPr="00485364">
        <w:rPr>
          <w:rFonts w:asciiTheme="majorHAnsi" w:hAnsiTheme="majorHAnsi"/>
        </w:rPr>
        <w:t xml:space="preserve">2. </w:t>
      </w:r>
      <w:r>
        <w:rPr>
          <w:rFonts w:asciiTheme="majorHAnsi" w:hAnsiTheme="majorHAnsi"/>
          <w:color w:val="000000"/>
          <w:szCs w:val="21"/>
        </w:rPr>
        <w:t>Treat the water</w:t>
      </w:r>
    </w:p>
    <w:p w:rsidR="00485364" w:rsidRPr="00485364" w:rsidRDefault="00485364" w:rsidP="00485364">
      <w:pPr>
        <w:pStyle w:val="NormalWeb"/>
        <w:spacing w:beforeLines="0" w:afterLines="0" w:line="305" w:lineRule="atLeast"/>
        <w:rPr>
          <w:rFonts w:asciiTheme="majorHAnsi" w:hAnsiTheme="majorHAnsi"/>
          <w:color w:val="000000"/>
          <w:sz w:val="24"/>
          <w:szCs w:val="21"/>
        </w:rPr>
      </w:pPr>
      <w:r w:rsidRPr="00485364">
        <w:rPr>
          <w:rFonts w:asciiTheme="majorHAnsi" w:hAnsiTheme="majorHAnsi"/>
          <w:color w:val="000000"/>
          <w:sz w:val="24"/>
          <w:szCs w:val="21"/>
        </w:rPr>
        <w:t>If you are treating your water, there are</w:t>
      </w:r>
      <w:r w:rsidRPr="00485364">
        <w:rPr>
          <w:rStyle w:val="apple-converted-space"/>
          <w:rFonts w:asciiTheme="majorHAnsi" w:hAnsiTheme="majorHAnsi"/>
          <w:color w:val="000000"/>
          <w:sz w:val="24"/>
          <w:szCs w:val="21"/>
        </w:rPr>
        <w:t> </w:t>
      </w:r>
      <w:hyperlink r:id="rId8" w:anchor="p-2159" w:history="1">
        <w:r w:rsidRPr="00485364">
          <w:rPr>
            <w:rStyle w:val="Hyperlink"/>
            <w:rFonts w:asciiTheme="majorHAnsi" w:hAnsiTheme="majorHAnsi"/>
            <w:color w:val="AC0D0D"/>
            <w:sz w:val="24"/>
            <w:szCs w:val="21"/>
          </w:rPr>
          <w:t>requirements</w:t>
        </w:r>
      </w:hyperlink>
      <w:r w:rsidRPr="00485364">
        <w:rPr>
          <w:rStyle w:val="apple-converted-space"/>
          <w:rFonts w:asciiTheme="majorHAnsi" w:hAnsiTheme="majorHAnsi"/>
          <w:color w:val="000000"/>
          <w:sz w:val="24"/>
          <w:szCs w:val="21"/>
        </w:rPr>
        <w:t> </w:t>
      </w:r>
      <w:r w:rsidRPr="00485364">
        <w:rPr>
          <w:rFonts w:asciiTheme="majorHAnsi" w:hAnsiTheme="majorHAnsi"/>
          <w:color w:val="000000"/>
          <w:sz w:val="24"/>
          <w:szCs w:val="21"/>
        </w:rPr>
        <w:t>that relate to the effectiveness of treatment, the delivery of treatment, and monitoring the effectiveness of the treatment.</w:t>
      </w:r>
    </w:p>
    <w:p w:rsidR="00485364" w:rsidRPr="00485364" w:rsidRDefault="00485364" w:rsidP="00485364">
      <w:pPr>
        <w:pStyle w:val="NormalWeb"/>
        <w:spacing w:beforeLines="0" w:afterLines="0" w:line="305" w:lineRule="atLeast"/>
        <w:rPr>
          <w:rFonts w:asciiTheme="majorHAnsi" w:hAnsiTheme="majorHAnsi"/>
          <w:color w:val="000000"/>
          <w:sz w:val="24"/>
          <w:szCs w:val="21"/>
        </w:rPr>
      </w:pPr>
    </w:p>
    <w:p w:rsidR="0070064B" w:rsidRPr="00485364" w:rsidRDefault="0088626E" w:rsidP="007065C0">
      <w:pPr>
        <w:rPr>
          <w:rFonts w:asciiTheme="majorHAnsi" w:hAnsiTheme="majorHAnsi"/>
        </w:rPr>
      </w:pPr>
      <w:r w:rsidRPr="00485364">
        <w:rPr>
          <w:rFonts w:asciiTheme="majorHAnsi" w:hAnsiTheme="majorHAnsi"/>
          <w:b/>
          <w:noProof/>
        </w:rPr>
        <w:pict>
          <v:shape id="_x0000_s1038" type="#_x0000_t202" style="position:absolute;margin-left:5in;margin-top:29.55pt;width:160.9pt;height:142.85pt;z-index:251666432;mso-wrap-edited:f;mso-position-horizontal:absolute;mso-position-vertical:absolute" wrapcoords="-81 -113 -81 21600 21763 21600 21763 -113 -81 -113" fillcolor="#f2f2f2 [3052]" strokeweight="2.25pt">
            <v:fill o:detectmouseclick="t"/>
            <v:textbox style="mso-next-textbox:#_x0000_s1038" inset=",7.2pt,,7.2pt">
              <w:txbxContent>
                <w:p w:rsidR="00061A66" w:rsidRDefault="00061A66" w:rsidP="00E77352">
                  <w:r>
                    <w:rPr>
                      <w:rFonts w:asciiTheme="majorHAnsi" w:hAnsiTheme="majorHAnsi"/>
                    </w:rPr>
                    <w:t xml:space="preserve">Confused? </w:t>
                  </w:r>
                  <w:r w:rsidRPr="00A87933">
                    <w:rPr>
                      <w:rFonts w:asciiTheme="majorHAnsi" w:hAnsiTheme="majorHAnsi"/>
                    </w:rPr>
                    <w:t>The FDA is exploring the development of an on</w:t>
                  </w:r>
                  <w:r>
                    <w:rPr>
                      <w:rFonts w:asciiTheme="majorHAnsi" w:hAnsiTheme="majorHAnsi"/>
                    </w:rPr>
                    <w:t xml:space="preserve">line tool that farms can use to </w:t>
                  </w:r>
                  <w:r w:rsidRPr="00A87933">
                    <w:rPr>
                      <w:rFonts w:asciiTheme="majorHAnsi" w:hAnsiTheme="majorHAnsi"/>
                    </w:rPr>
                    <w:t>calculate the appropriate number of days that they need to wait between the end of irrigation and harvest</w:t>
                  </w:r>
                  <w:r>
                    <w:rPr>
                      <w:rFonts w:asciiTheme="majorHAnsi" w:hAnsiTheme="majorHAnsi"/>
                    </w:rPr>
                    <w:t>.</w:t>
                  </w:r>
                </w:p>
              </w:txbxContent>
            </v:textbox>
            <w10:wrap type="tight"/>
          </v:shape>
        </w:pict>
      </w:r>
      <w:r w:rsidR="008601FC" w:rsidRPr="00485364">
        <w:rPr>
          <w:rFonts w:asciiTheme="majorHAnsi" w:hAnsiTheme="majorHAnsi"/>
          <w:b/>
        </w:rPr>
        <w:t xml:space="preserve">2. </w:t>
      </w:r>
      <w:r w:rsidR="007065C0" w:rsidRPr="00485364">
        <w:rPr>
          <w:rFonts w:asciiTheme="majorHAnsi" w:hAnsiTheme="majorHAnsi"/>
          <w:b/>
        </w:rPr>
        <w:t xml:space="preserve">Growing Activities </w:t>
      </w:r>
      <w:r w:rsidR="008601FC" w:rsidRPr="00485364">
        <w:rPr>
          <w:rFonts w:asciiTheme="majorHAnsi" w:hAnsiTheme="majorHAnsi"/>
          <w:b/>
        </w:rPr>
        <w:t xml:space="preserve">(Other Than Sprouts) </w:t>
      </w:r>
      <w:r w:rsidR="0070064B" w:rsidRPr="00485364">
        <w:rPr>
          <w:rFonts w:asciiTheme="majorHAnsi" w:hAnsiTheme="majorHAnsi"/>
        </w:rPr>
        <w:t>If the water does not meet these criteria, corrective actions are required as soon as is practicable, but no later than the following year. Farmers with agricultural water that does not initially meet the microbial criteria have additional flexibility by which they can meet the criteria and then be able to use the water on their crops. These options include, for example:</w:t>
      </w:r>
    </w:p>
    <w:p w:rsidR="0012653B" w:rsidRPr="00485364" w:rsidRDefault="0012653B" w:rsidP="002637BE">
      <w:pPr>
        <w:rPr>
          <w:rFonts w:asciiTheme="majorHAnsi" w:hAnsiTheme="majorHAnsi"/>
        </w:rPr>
      </w:pPr>
      <w:r w:rsidRPr="00485364">
        <w:rPr>
          <w:rFonts w:asciiTheme="majorHAnsi" w:hAnsiTheme="majorHAnsi"/>
        </w:rPr>
        <w:t xml:space="preserve">-  </w:t>
      </w:r>
      <w:r w:rsidR="0070064B" w:rsidRPr="00485364">
        <w:rPr>
          <w:rFonts w:asciiTheme="majorHAnsi" w:hAnsiTheme="majorHAnsi"/>
        </w:rPr>
        <w:t>Allowing time for potentially dangerous microbes to die off on the field by using a certain time interval between last irrigation and harvest, but no more than four consecutive days.</w:t>
      </w:r>
    </w:p>
    <w:p w:rsidR="00485364" w:rsidRPr="00485364" w:rsidRDefault="0012653B" w:rsidP="002637BE">
      <w:pPr>
        <w:rPr>
          <w:rFonts w:asciiTheme="majorHAnsi" w:hAnsiTheme="majorHAnsi"/>
        </w:rPr>
      </w:pPr>
      <w:r w:rsidRPr="00485364">
        <w:rPr>
          <w:rFonts w:asciiTheme="majorHAnsi" w:hAnsiTheme="majorHAnsi"/>
        </w:rPr>
        <w:t xml:space="preserve">-  </w:t>
      </w:r>
      <w:r w:rsidR="0070064B" w:rsidRPr="00485364">
        <w:rPr>
          <w:rFonts w:asciiTheme="majorHAnsi" w:hAnsiTheme="majorHAnsi"/>
        </w:rPr>
        <w:t>Allowing time for potentially dangerous microbes to die off between harvest and end of storage, or to be removed during commercial activities such as washing, within appropriate limits.</w:t>
      </w:r>
    </w:p>
    <w:p w:rsidR="00485364" w:rsidRPr="00485364" w:rsidRDefault="00485364" w:rsidP="00485364">
      <w:pPr>
        <w:rPr>
          <w:rFonts w:asciiTheme="majorHAnsi" w:hAnsiTheme="majorHAnsi"/>
          <w:szCs w:val="20"/>
        </w:rPr>
      </w:pPr>
      <w:r w:rsidRPr="00485364">
        <w:rPr>
          <w:rFonts w:asciiTheme="majorHAnsi" w:hAnsiTheme="majorHAnsi"/>
          <w:color w:val="000000"/>
          <w:szCs w:val="21"/>
          <w:shd w:val="clear" w:color="auto" w:fill="FFFFFF"/>
        </w:rPr>
        <w:t>However, if it would take more than 4 days for the microbial die-off to bring you below the microbial water quality standard, then you cannot use that water source to irrigate covered produce, unless you switch to an irrigation method where the water is unlikely to contact the harvestable portion of the produce, or you treat the water.</w:t>
      </w:r>
    </w:p>
    <w:p w:rsidR="000B6A7C" w:rsidRPr="00485364" w:rsidRDefault="0012653B" w:rsidP="002637BE">
      <w:pPr>
        <w:rPr>
          <w:rFonts w:asciiTheme="majorHAnsi" w:hAnsiTheme="majorHAnsi"/>
        </w:rPr>
      </w:pPr>
      <w:r w:rsidRPr="00485364">
        <w:rPr>
          <w:rFonts w:asciiTheme="majorHAnsi" w:hAnsiTheme="majorHAnsi"/>
        </w:rPr>
        <w:t>_______________________________________________________________________________________</w:t>
      </w:r>
    </w:p>
    <w:p w:rsidR="000B6A7C" w:rsidRPr="00485364" w:rsidRDefault="0012653B" w:rsidP="000B6A7C">
      <w:pPr>
        <w:rPr>
          <w:rFonts w:asciiTheme="majorHAnsi" w:hAnsiTheme="majorHAnsi"/>
        </w:rPr>
      </w:pPr>
      <w:bookmarkStart w:id="1" w:name="OLE_LINK1"/>
      <w:r w:rsidRPr="00485364">
        <w:rPr>
          <w:rFonts w:asciiTheme="majorHAnsi" w:hAnsiTheme="majorHAnsi"/>
          <w:b/>
          <w:bCs/>
        </w:rPr>
        <w:t>WHEN DO FARMERS HAVE TO COMPLY WITH TESTING WATER?</w:t>
      </w:r>
    </w:p>
    <w:tbl>
      <w:tblPr>
        <w:tblStyle w:val="TableGrid"/>
        <w:tblW w:w="0" w:type="auto"/>
        <w:tblLook w:val="00BF"/>
      </w:tblPr>
      <w:tblGrid>
        <w:gridCol w:w="3798"/>
        <w:gridCol w:w="3960"/>
        <w:gridCol w:w="2610"/>
      </w:tblGrid>
      <w:tr w:rsidR="000B6A7C" w:rsidRPr="00485364">
        <w:tc>
          <w:tcPr>
            <w:tcW w:w="3798" w:type="dxa"/>
          </w:tcPr>
          <w:p w:rsidR="000B6A7C" w:rsidRPr="00485364" w:rsidRDefault="000B6A7C" w:rsidP="00417E7B">
            <w:pPr>
              <w:rPr>
                <w:rFonts w:asciiTheme="majorHAnsi" w:hAnsiTheme="majorHAnsi"/>
                <w:bCs/>
              </w:rPr>
            </w:pPr>
            <w:r w:rsidRPr="00485364">
              <w:rPr>
                <w:rFonts w:asciiTheme="majorHAnsi" w:hAnsiTheme="majorHAnsi"/>
                <w:bCs/>
              </w:rPr>
              <w:t>Farm Size</w:t>
            </w:r>
          </w:p>
        </w:tc>
        <w:tc>
          <w:tcPr>
            <w:tcW w:w="3960" w:type="dxa"/>
          </w:tcPr>
          <w:p w:rsidR="000B6A7C" w:rsidRPr="00485364" w:rsidRDefault="000B6A7C" w:rsidP="009E4F02">
            <w:pPr>
              <w:rPr>
                <w:rFonts w:asciiTheme="majorHAnsi" w:hAnsiTheme="majorHAnsi"/>
                <w:bCs/>
              </w:rPr>
            </w:pPr>
            <w:r w:rsidRPr="00485364">
              <w:rPr>
                <w:rFonts w:asciiTheme="majorHAnsi" w:hAnsiTheme="majorHAnsi"/>
                <w:bCs/>
              </w:rPr>
              <w:t>For all water use, except growing sprouts</w:t>
            </w:r>
          </w:p>
        </w:tc>
        <w:tc>
          <w:tcPr>
            <w:tcW w:w="2610" w:type="dxa"/>
          </w:tcPr>
          <w:p w:rsidR="000B6A7C" w:rsidRPr="00485364" w:rsidRDefault="000B6A7C" w:rsidP="00417E7B">
            <w:pPr>
              <w:rPr>
                <w:rFonts w:asciiTheme="majorHAnsi" w:hAnsiTheme="majorHAnsi"/>
                <w:bCs/>
              </w:rPr>
            </w:pPr>
            <w:r w:rsidRPr="00485364">
              <w:rPr>
                <w:rFonts w:asciiTheme="majorHAnsi" w:hAnsiTheme="majorHAnsi"/>
                <w:bCs/>
              </w:rPr>
              <w:t>For Growing Sprouts</w:t>
            </w:r>
          </w:p>
        </w:tc>
      </w:tr>
      <w:tr w:rsidR="000B6A7C" w:rsidRPr="00485364">
        <w:tc>
          <w:tcPr>
            <w:tcW w:w="3798" w:type="dxa"/>
          </w:tcPr>
          <w:p w:rsidR="000B6A7C" w:rsidRPr="00485364" w:rsidRDefault="000B6A7C" w:rsidP="00FD6652">
            <w:pPr>
              <w:rPr>
                <w:rFonts w:asciiTheme="majorHAnsi" w:hAnsiTheme="majorHAnsi"/>
                <w:b/>
                <w:bCs/>
              </w:rPr>
            </w:pPr>
            <w:r w:rsidRPr="00485364">
              <w:rPr>
                <w:rFonts w:asciiTheme="majorHAnsi" w:hAnsiTheme="majorHAnsi"/>
              </w:rPr>
              <w:t>Very small farms, &gt; $250,000</w:t>
            </w:r>
          </w:p>
        </w:tc>
        <w:tc>
          <w:tcPr>
            <w:tcW w:w="3960" w:type="dxa"/>
          </w:tcPr>
          <w:p w:rsidR="000B6A7C" w:rsidRPr="00485364" w:rsidRDefault="000B6A7C" w:rsidP="00417E7B">
            <w:pPr>
              <w:rPr>
                <w:rFonts w:asciiTheme="majorHAnsi" w:hAnsiTheme="majorHAnsi"/>
                <w:b/>
                <w:bCs/>
              </w:rPr>
            </w:pPr>
            <w:r w:rsidRPr="00485364">
              <w:rPr>
                <w:rFonts w:asciiTheme="majorHAnsi" w:hAnsiTheme="majorHAnsi"/>
              </w:rPr>
              <w:t>6 years</w:t>
            </w:r>
          </w:p>
        </w:tc>
        <w:tc>
          <w:tcPr>
            <w:tcW w:w="2610" w:type="dxa"/>
          </w:tcPr>
          <w:p w:rsidR="000B6A7C" w:rsidRPr="00485364" w:rsidRDefault="000B6A7C" w:rsidP="00417E7B">
            <w:pPr>
              <w:rPr>
                <w:rFonts w:asciiTheme="majorHAnsi" w:hAnsiTheme="majorHAnsi"/>
                <w:bCs/>
              </w:rPr>
            </w:pPr>
            <w:r w:rsidRPr="00485364">
              <w:rPr>
                <w:rFonts w:asciiTheme="majorHAnsi" w:hAnsiTheme="majorHAnsi"/>
                <w:bCs/>
              </w:rPr>
              <w:t>3 years</w:t>
            </w:r>
          </w:p>
        </w:tc>
      </w:tr>
      <w:tr w:rsidR="000B6A7C" w:rsidRPr="00485364">
        <w:tc>
          <w:tcPr>
            <w:tcW w:w="3798" w:type="dxa"/>
          </w:tcPr>
          <w:p w:rsidR="000B6A7C" w:rsidRPr="00485364" w:rsidRDefault="000B6A7C" w:rsidP="00FD6652">
            <w:pPr>
              <w:rPr>
                <w:rFonts w:asciiTheme="majorHAnsi" w:hAnsiTheme="majorHAnsi"/>
                <w:b/>
                <w:bCs/>
              </w:rPr>
            </w:pPr>
            <w:r w:rsidRPr="00485364">
              <w:rPr>
                <w:rFonts w:asciiTheme="majorHAnsi" w:hAnsiTheme="majorHAnsi"/>
              </w:rPr>
              <w:t xml:space="preserve">Small farms, $250,000 &lt; $500,00 </w:t>
            </w:r>
          </w:p>
        </w:tc>
        <w:tc>
          <w:tcPr>
            <w:tcW w:w="3960" w:type="dxa"/>
          </w:tcPr>
          <w:p w:rsidR="000B6A7C" w:rsidRPr="00485364" w:rsidRDefault="000B6A7C" w:rsidP="009E4F02">
            <w:pPr>
              <w:rPr>
                <w:rFonts w:asciiTheme="majorHAnsi" w:hAnsiTheme="majorHAnsi"/>
                <w:b/>
                <w:bCs/>
              </w:rPr>
            </w:pPr>
            <w:r w:rsidRPr="00485364">
              <w:rPr>
                <w:rFonts w:asciiTheme="majorHAnsi" w:hAnsiTheme="majorHAnsi"/>
              </w:rPr>
              <w:t xml:space="preserve">5 years </w:t>
            </w:r>
          </w:p>
        </w:tc>
        <w:tc>
          <w:tcPr>
            <w:tcW w:w="2610" w:type="dxa"/>
          </w:tcPr>
          <w:p w:rsidR="000B6A7C" w:rsidRPr="00485364" w:rsidRDefault="000B6A7C" w:rsidP="00417E7B">
            <w:pPr>
              <w:rPr>
                <w:rFonts w:asciiTheme="majorHAnsi" w:hAnsiTheme="majorHAnsi"/>
                <w:bCs/>
              </w:rPr>
            </w:pPr>
            <w:r w:rsidRPr="00485364">
              <w:rPr>
                <w:rFonts w:asciiTheme="majorHAnsi" w:hAnsiTheme="majorHAnsi"/>
                <w:bCs/>
              </w:rPr>
              <w:t>2 years</w:t>
            </w:r>
          </w:p>
        </w:tc>
      </w:tr>
      <w:tr w:rsidR="000B6A7C" w:rsidRPr="00485364">
        <w:tc>
          <w:tcPr>
            <w:tcW w:w="3798" w:type="dxa"/>
          </w:tcPr>
          <w:p w:rsidR="000B6A7C" w:rsidRPr="00485364" w:rsidRDefault="000B6A7C" w:rsidP="00417E7B">
            <w:pPr>
              <w:rPr>
                <w:rFonts w:asciiTheme="majorHAnsi" w:hAnsiTheme="majorHAnsi"/>
                <w:b/>
                <w:bCs/>
              </w:rPr>
            </w:pPr>
            <w:r w:rsidRPr="00485364">
              <w:rPr>
                <w:rFonts w:asciiTheme="majorHAnsi" w:hAnsiTheme="majorHAnsi"/>
              </w:rPr>
              <w:t>Large $500,00 and more</w:t>
            </w:r>
          </w:p>
        </w:tc>
        <w:tc>
          <w:tcPr>
            <w:tcW w:w="3960" w:type="dxa"/>
          </w:tcPr>
          <w:p w:rsidR="000B6A7C" w:rsidRPr="00485364" w:rsidRDefault="000B6A7C" w:rsidP="00417E7B">
            <w:pPr>
              <w:rPr>
                <w:rFonts w:asciiTheme="majorHAnsi" w:hAnsiTheme="majorHAnsi"/>
                <w:b/>
                <w:bCs/>
              </w:rPr>
            </w:pPr>
            <w:r w:rsidRPr="00485364">
              <w:rPr>
                <w:rFonts w:asciiTheme="majorHAnsi" w:hAnsiTheme="majorHAnsi"/>
              </w:rPr>
              <w:t>4 years</w:t>
            </w:r>
          </w:p>
        </w:tc>
        <w:tc>
          <w:tcPr>
            <w:tcW w:w="2610" w:type="dxa"/>
          </w:tcPr>
          <w:p w:rsidR="000B6A7C" w:rsidRPr="00485364" w:rsidRDefault="000B6A7C" w:rsidP="00417E7B">
            <w:pPr>
              <w:rPr>
                <w:rFonts w:asciiTheme="majorHAnsi" w:hAnsiTheme="majorHAnsi"/>
                <w:bCs/>
              </w:rPr>
            </w:pPr>
            <w:r w:rsidRPr="00485364">
              <w:rPr>
                <w:rFonts w:asciiTheme="majorHAnsi" w:hAnsiTheme="majorHAnsi"/>
                <w:bCs/>
              </w:rPr>
              <w:t>1 year</w:t>
            </w:r>
          </w:p>
        </w:tc>
      </w:tr>
      <w:bookmarkEnd w:id="1"/>
    </w:tbl>
    <w:p w:rsidR="000B6A7C" w:rsidRPr="00485364" w:rsidRDefault="000B6A7C" w:rsidP="002637BE">
      <w:pPr>
        <w:rPr>
          <w:rFonts w:asciiTheme="majorHAnsi" w:hAnsiTheme="majorHAnsi"/>
        </w:rPr>
      </w:pPr>
    </w:p>
    <w:p w:rsidR="00EA212C" w:rsidRPr="00485364" w:rsidRDefault="000B6A7C" w:rsidP="000B6A7C">
      <w:pPr>
        <w:spacing w:after="0" w:line="305" w:lineRule="atLeast"/>
        <w:rPr>
          <w:rFonts w:asciiTheme="majorHAnsi" w:hAnsiTheme="majorHAnsi" w:cs="Times New Roman"/>
          <w:b/>
          <w:bCs/>
          <w:iCs/>
        </w:rPr>
      </w:pPr>
      <w:r w:rsidRPr="00485364">
        <w:rPr>
          <w:rFonts w:asciiTheme="majorHAnsi" w:hAnsiTheme="majorHAnsi" w:cs="Times New Roman"/>
          <w:b/>
          <w:bCs/>
          <w:iCs/>
        </w:rPr>
        <w:t>INSPECTION AND REGULAR MAINTENANCE</w:t>
      </w:r>
    </w:p>
    <w:p w:rsidR="000B6A7C" w:rsidRPr="00485364" w:rsidRDefault="000B6A7C" w:rsidP="000B6A7C">
      <w:pPr>
        <w:spacing w:after="0" w:line="305" w:lineRule="atLeast"/>
        <w:rPr>
          <w:rFonts w:asciiTheme="majorHAnsi" w:hAnsiTheme="majorHAnsi" w:cs="Times New Roman"/>
          <w:b/>
          <w:bCs/>
          <w:iCs/>
        </w:rPr>
      </w:pPr>
    </w:p>
    <w:p w:rsidR="000B6A7C" w:rsidRPr="00485364" w:rsidRDefault="000B6A7C" w:rsidP="000B6A7C">
      <w:pPr>
        <w:spacing w:after="0" w:line="305" w:lineRule="atLeast"/>
        <w:rPr>
          <w:rFonts w:asciiTheme="majorHAnsi" w:hAnsiTheme="majorHAnsi" w:cs="Times New Roman"/>
          <w:szCs w:val="21"/>
        </w:rPr>
      </w:pPr>
      <w:r w:rsidRPr="00485364">
        <w:rPr>
          <w:rFonts w:asciiTheme="majorHAnsi" w:hAnsiTheme="majorHAnsi" w:cs="Times New Roman"/>
          <w:szCs w:val="21"/>
        </w:rPr>
        <w:t>At the beginning of the growing season, or at least once annually,</w:t>
      </w:r>
      <w:r w:rsidRPr="00485364">
        <w:rPr>
          <w:rFonts w:asciiTheme="majorHAnsi" w:hAnsiTheme="majorHAnsi" w:cs="Times New Roman"/>
        </w:rPr>
        <w:t> </w:t>
      </w:r>
      <w:hyperlink r:id="rId9" w:anchor="p-2150" w:history="1">
        <w:r w:rsidRPr="00485364">
          <w:rPr>
            <w:rFonts w:asciiTheme="majorHAnsi" w:hAnsiTheme="majorHAnsi" w:cs="Times New Roman"/>
            <w:u w:val="single"/>
          </w:rPr>
          <w:t>you must inspect</w:t>
        </w:r>
      </w:hyperlink>
      <w:r w:rsidRPr="00485364">
        <w:rPr>
          <w:rFonts w:asciiTheme="majorHAnsi" w:hAnsiTheme="majorHAnsi" w:cs="Times New Roman"/>
        </w:rPr>
        <w:t> </w:t>
      </w:r>
      <w:r w:rsidRPr="00485364">
        <w:rPr>
          <w:rFonts w:asciiTheme="majorHAnsi" w:hAnsiTheme="majorHAnsi" w:cs="Times New Roman"/>
          <w:szCs w:val="21"/>
        </w:rPr>
        <w:t>your entire agricultural water system, which includes your water sources, distribution systems, facilities, and equipment, to identify any conditions that are reasonably likely to introduce know or reasonably foreseeable hazards into or onto covered produce or food contact surfaces.</w:t>
      </w:r>
    </w:p>
    <w:p w:rsidR="000B6A7C" w:rsidRPr="00485364" w:rsidRDefault="000B6A7C" w:rsidP="000B6A7C">
      <w:pPr>
        <w:spacing w:after="0" w:line="305" w:lineRule="atLeast"/>
        <w:rPr>
          <w:rFonts w:asciiTheme="majorHAnsi" w:hAnsiTheme="majorHAnsi" w:cs="Times New Roman"/>
          <w:szCs w:val="21"/>
        </w:rPr>
      </w:pPr>
    </w:p>
    <w:p w:rsidR="000B6A7C" w:rsidRPr="00485364" w:rsidRDefault="000B6A7C" w:rsidP="000B6A7C">
      <w:pPr>
        <w:spacing w:after="0" w:line="305" w:lineRule="atLeast"/>
        <w:rPr>
          <w:rFonts w:asciiTheme="majorHAnsi" w:hAnsiTheme="majorHAnsi" w:cs="Times New Roman"/>
          <w:szCs w:val="21"/>
        </w:rPr>
      </w:pPr>
      <w:r w:rsidRPr="00485364">
        <w:rPr>
          <w:rFonts w:asciiTheme="majorHAnsi" w:hAnsiTheme="majorHAnsi" w:cs="Times New Roman"/>
          <w:szCs w:val="21"/>
        </w:rPr>
        <w:t>This should include consideration of:</w:t>
      </w:r>
    </w:p>
    <w:p w:rsidR="000B6A7C" w:rsidRPr="00485364" w:rsidRDefault="000B6A7C" w:rsidP="0088626E">
      <w:pPr>
        <w:numPr>
          <w:ilvl w:val="0"/>
          <w:numId w:val="3"/>
        </w:numPr>
        <w:spacing w:beforeLines="1" w:afterLines="1" w:line="305" w:lineRule="atLeast"/>
        <w:rPr>
          <w:rFonts w:asciiTheme="majorHAnsi" w:hAnsiTheme="majorHAnsi"/>
          <w:szCs w:val="21"/>
        </w:rPr>
      </w:pPr>
      <w:r w:rsidRPr="00485364">
        <w:rPr>
          <w:rFonts w:asciiTheme="majorHAnsi" w:hAnsiTheme="majorHAnsi"/>
          <w:szCs w:val="21"/>
        </w:rPr>
        <w:t>The nature of each agricultural water source;</w:t>
      </w:r>
    </w:p>
    <w:p w:rsidR="000B6A7C" w:rsidRPr="00485364" w:rsidRDefault="000B6A7C" w:rsidP="0088626E">
      <w:pPr>
        <w:numPr>
          <w:ilvl w:val="0"/>
          <w:numId w:val="3"/>
        </w:numPr>
        <w:spacing w:beforeLines="1" w:afterLines="1" w:line="305" w:lineRule="atLeast"/>
        <w:rPr>
          <w:rFonts w:asciiTheme="majorHAnsi" w:hAnsiTheme="majorHAnsi"/>
          <w:szCs w:val="21"/>
        </w:rPr>
      </w:pPr>
      <w:r w:rsidRPr="00485364">
        <w:rPr>
          <w:rFonts w:asciiTheme="majorHAnsi" w:hAnsiTheme="majorHAnsi"/>
          <w:szCs w:val="21"/>
        </w:rPr>
        <w:t>The extent of your control over it;</w:t>
      </w:r>
    </w:p>
    <w:p w:rsidR="000B6A7C" w:rsidRPr="00485364" w:rsidRDefault="000B6A7C" w:rsidP="0088626E">
      <w:pPr>
        <w:numPr>
          <w:ilvl w:val="0"/>
          <w:numId w:val="3"/>
        </w:numPr>
        <w:spacing w:beforeLines="1" w:afterLines="1" w:line="305" w:lineRule="atLeast"/>
        <w:rPr>
          <w:rFonts w:asciiTheme="majorHAnsi" w:hAnsiTheme="majorHAnsi"/>
          <w:szCs w:val="21"/>
        </w:rPr>
      </w:pPr>
      <w:r w:rsidRPr="00485364">
        <w:rPr>
          <w:rFonts w:asciiTheme="majorHAnsi" w:hAnsiTheme="majorHAnsi"/>
          <w:szCs w:val="21"/>
        </w:rPr>
        <w:t>The degree of protection each source has;</w:t>
      </w:r>
    </w:p>
    <w:p w:rsidR="000B6A7C" w:rsidRPr="00485364" w:rsidRDefault="000B6A7C" w:rsidP="0088626E">
      <w:pPr>
        <w:numPr>
          <w:ilvl w:val="0"/>
          <w:numId w:val="3"/>
        </w:numPr>
        <w:spacing w:beforeLines="1" w:afterLines="1" w:line="305" w:lineRule="atLeast"/>
        <w:rPr>
          <w:rFonts w:asciiTheme="majorHAnsi" w:hAnsiTheme="majorHAnsi"/>
          <w:szCs w:val="21"/>
        </w:rPr>
      </w:pPr>
      <w:r w:rsidRPr="00485364">
        <w:rPr>
          <w:rFonts w:asciiTheme="majorHAnsi" w:hAnsiTheme="majorHAnsi"/>
          <w:szCs w:val="21"/>
        </w:rPr>
        <w:t>Adjacent and nearby land use that may impact your water quality; and</w:t>
      </w:r>
    </w:p>
    <w:p w:rsidR="000B6A7C" w:rsidRPr="00485364" w:rsidRDefault="000B6A7C" w:rsidP="0088626E">
      <w:pPr>
        <w:numPr>
          <w:ilvl w:val="0"/>
          <w:numId w:val="3"/>
        </w:numPr>
        <w:spacing w:beforeLines="1" w:afterLines="1" w:line="305" w:lineRule="atLeast"/>
        <w:rPr>
          <w:rFonts w:asciiTheme="majorHAnsi" w:hAnsiTheme="majorHAnsi"/>
          <w:szCs w:val="21"/>
        </w:rPr>
      </w:pPr>
      <w:r w:rsidRPr="00485364">
        <w:rPr>
          <w:rFonts w:asciiTheme="majorHAnsi" w:hAnsiTheme="majorHAnsi"/>
          <w:szCs w:val="21"/>
        </w:rPr>
        <w:t>The likelihood of introduction of known or reasonably foreseeable hazards by another upstream water user.</w:t>
      </w:r>
    </w:p>
    <w:p w:rsidR="000B6A7C" w:rsidRPr="00485364" w:rsidRDefault="000B6A7C" w:rsidP="000B6A7C">
      <w:pPr>
        <w:spacing w:after="0" w:line="305" w:lineRule="atLeast"/>
        <w:rPr>
          <w:rFonts w:asciiTheme="majorHAnsi" w:hAnsiTheme="majorHAnsi" w:cs="Times New Roman"/>
          <w:szCs w:val="21"/>
        </w:rPr>
      </w:pPr>
    </w:p>
    <w:p w:rsidR="000B6A7C" w:rsidRPr="00485364" w:rsidRDefault="000B6A7C" w:rsidP="000B6A7C">
      <w:pPr>
        <w:spacing w:after="0" w:line="305" w:lineRule="atLeast"/>
        <w:rPr>
          <w:rFonts w:asciiTheme="majorHAnsi" w:hAnsiTheme="majorHAnsi" w:cs="Times New Roman"/>
          <w:color w:val="000000"/>
          <w:szCs w:val="21"/>
        </w:rPr>
      </w:pPr>
      <w:r w:rsidRPr="00485364">
        <w:rPr>
          <w:rFonts w:asciiTheme="majorHAnsi" w:hAnsiTheme="majorHAnsi" w:cs="Times New Roman"/>
          <w:szCs w:val="21"/>
        </w:rPr>
        <w:t>You</w:t>
      </w:r>
      <w:r w:rsidRPr="00485364">
        <w:rPr>
          <w:rFonts w:asciiTheme="majorHAnsi" w:hAnsiTheme="majorHAnsi" w:cs="Times New Roman"/>
        </w:rPr>
        <w:t> </w:t>
      </w:r>
      <w:r w:rsidRPr="00485364">
        <w:rPr>
          <w:rFonts w:asciiTheme="majorHAnsi" w:hAnsiTheme="majorHAnsi" w:cs="Times New Roman"/>
          <w:u w:val="single"/>
        </w:rPr>
        <w:t>must adequately maintain:</w:t>
      </w:r>
      <w:r w:rsidRPr="00485364">
        <w:rPr>
          <w:rFonts w:asciiTheme="majorHAnsi" w:hAnsiTheme="majorHAnsi" w:cs="Times New Roman"/>
        </w:rPr>
        <w:t> </w:t>
      </w:r>
      <w:r w:rsidRPr="00485364">
        <w:rPr>
          <w:rFonts w:asciiTheme="majorHAnsi" w:hAnsiTheme="majorHAnsi" w:cs="Times New Roman"/>
          <w:color w:val="000000"/>
          <w:szCs w:val="21"/>
        </w:rPr>
        <w:t>all water sources, to the extent they are under your control (e.g. by regularly inspecting, removing debris, trash etc); your water distribution system to the extent it is under your control; and your water system to reduce the potential for covered produce to contact pooled water.</w:t>
      </w:r>
    </w:p>
    <w:p w:rsidR="00910AB2" w:rsidRPr="00485364" w:rsidRDefault="00910AB2" w:rsidP="002637BE">
      <w:pPr>
        <w:rPr>
          <w:rFonts w:asciiTheme="majorHAnsi" w:hAnsiTheme="majorHAnsi"/>
        </w:rPr>
      </w:pPr>
      <w:r w:rsidRPr="00485364">
        <w:rPr>
          <w:rFonts w:asciiTheme="majorHAnsi" w:hAnsiTheme="majorHAnsi"/>
        </w:rPr>
        <w:t>_______________________________________________________________________________________</w:t>
      </w:r>
    </w:p>
    <w:p w:rsidR="00BA682F" w:rsidRPr="00485364" w:rsidRDefault="00910AB2" w:rsidP="00BA682F">
      <w:pPr>
        <w:pStyle w:val="NormalWeb"/>
        <w:spacing w:beforeLines="0" w:afterLines="0"/>
        <w:textAlignment w:val="baseline"/>
        <w:rPr>
          <w:rFonts w:asciiTheme="majorHAnsi" w:hAnsiTheme="majorHAnsi"/>
          <w:b/>
          <w:color w:val="363636"/>
          <w:sz w:val="24"/>
          <w:szCs w:val="24"/>
        </w:rPr>
      </w:pPr>
      <w:r w:rsidRPr="00485364">
        <w:rPr>
          <w:rFonts w:asciiTheme="majorHAnsi" w:hAnsiTheme="majorHAnsi"/>
          <w:b/>
          <w:color w:val="363636"/>
          <w:sz w:val="24"/>
          <w:szCs w:val="24"/>
        </w:rPr>
        <w:t>PRODUCE RULE WATER RECORDKEEPING REQUIREMENTS</w:t>
      </w:r>
    </w:p>
    <w:p w:rsidR="00BA682F" w:rsidRPr="00485364" w:rsidRDefault="00BA682F" w:rsidP="00BA682F">
      <w:pPr>
        <w:pStyle w:val="NormalWeb"/>
        <w:spacing w:beforeLines="0" w:afterLines="0"/>
        <w:textAlignment w:val="baseline"/>
        <w:rPr>
          <w:rFonts w:asciiTheme="majorHAnsi" w:hAnsiTheme="majorHAnsi"/>
          <w:b/>
          <w:color w:val="363636"/>
          <w:sz w:val="24"/>
          <w:szCs w:val="24"/>
        </w:rPr>
      </w:pPr>
      <w:r w:rsidRPr="00485364">
        <w:rPr>
          <w:rFonts w:asciiTheme="majorHAnsi" w:hAnsiTheme="majorHAnsi"/>
          <w:b/>
          <w:color w:val="363636"/>
          <w:sz w:val="24"/>
          <w:szCs w:val="24"/>
        </w:rPr>
        <w:t xml:space="preserve">For all agricultural water </w:t>
      </w:r>
    </w:p>
    <w:p w:rsidR="00BA682F" w:rsidRPr="00485364" w:rsidRDefault="00BA682F" w:rsidP="00BA682F">
      <w:pPr>
        <w:spacing w:after="0"/>
        <w:ind w:left="720" w:hanging="360"/>
        <w:rPr>
          <w:rFonts w:asciiTheme="majorHAnsi" w:hAnsiTheme="majorHAnsi"/>
          <w:szCs w:val="20"/>
        </w:rPr>
      </w:pPr>
      <w:r w:rsidRPr="00485364">
        <w:rPr>
          <w:rFonts w:asciiTheme="majorHAnsi" w:hAnsiTheme="majorHAnsi"/>
          <w:szCs w:val="20"/>
        </w:rPr>
        <w:t xml:space="preserve">• </w:t>
      </w:r>
      <w:r w:rsidRPr="00485364">
        <w:rPr>
          <w:rFonts w:asciiTheme="majorHAnsi" w:hAnsiTheme="majorHAnsi"/>
          <w:szCs w:val="20"/>
        </w:rPr>
        <w:tab/>
        <w:t>Inspection of agricultural water sources and systems, and pooling of water</w:t>
      </w:r>
    </w:p>
    <w:p w:rsidR="00BA682F" w:rsidRPr="00485364" w:rsidRDefault="00BA682F" w:rsidP="00BA682F">
      <w:pPr>
        <w:spacing w:after="0"/>
        <w:ind w:left="720" w:hanging="360"/>
        <w:rPr>
          <w:rFonts w:asciiTheme="majorHAnsi" w:hAnsiTheme="majorHAnsi"/>
          <w:szCs w:val="20"/>
        </w:rPr>
      </w:pPr>
      <w:r w:rsidRPr="00485364">
        <w:rPr>
          <w:rFonts w:asciiTheme="majorHAnsi" w:hAnsiTheme="majorHAnsi"/>
          <w:szCs w:val="20"/>
        </w:rPr>
        <w:t xml:space="preserve">• </w:t>
      </w:r>
      <w:r w:rsidRPr="00485364">
        <w:rPr>
          <w:rFonts w:asciiTheme="majorHAnsi" w:hAnsiTheme="majorHAnsi"/>
          <w:szCs w:val="20"/>
        </w:rPr>
        <w:tab/>
        <w:t xml:space="preserve">Generic </w:t>
      </w:r>
      <w:r w:rsidRPr="00485364">
        <w:rPr>
          <w:rFonts w:asciiTheme="majorHAnsi" w:hAnsiTheme="majorHAnsi"/>
          <w:i/>
          <w:iCs/>
          <w:szCs w:val="20"/>
        </w:rPr>
        <w:t xml:space="preserve">E. coli </w:t>
      </w:r>
      <w:r w:rsidRPr="00485364">
        <w:rPr>
          <w:rFonts w:asciiTheme="majorHAnsi" w:hAnsiTheme="majorHAnsi"/>
          <w:szCs w:val="20"/>
        </w:rPr>
        <w:t>test results</w:t>
      </w:r>
    </w:p>
    <w:p w:rsidR="00BA682F" w:rsidRPr="00485364" w:rsidRDefault="00BA682F" w:rsidP="00BA682F">
      <w:pPr>
        <w:spacing w:after="0"/>
        <w:ind w:left="720" w:hanging="360"/>
        <w:rPr>
          <w:rFonts w:asciiTheme="majorHAnsi" w:hAnsiTheme="majorHAnsi"/>
          <w:szCs w:val="20"/>
        </w:rPr>
      </w:pPr>
      <w:r w:rsidRPr="00485364">
        <w:rPr>
          <w:rFonts w:asciiTheme="majorHAnsi" w:hAnsiTheme="majorHAnsi"/>
          <w:szCs w:val="20"/>
        </w:rPr>
        <w:t xml:space="preserve">• </w:t>
      </w:r>
      <w:r w:rsidRPr="00485364">
        <w:rPr>
          <w:rFonts w:asciiTheme="majorHAnsi" w:hAnsiTheme="majorHAnsi"/>
          <w:szCs w:val="20"/>
        </w:rPr>
        <w:tab/>
        <w:t>Water treatment monitoring</w:t>
      </w:r>
    </w:p>
    <w:p w:rsidR="00BA682F" w:rsidRPr="00485364" w:rsidRDefault="00BA682F" w:rsidP="00BA682F">
      <w:pPr>
        <w:spacing w:after="0"/>
        <w:ind w:left="720" w:hanging="360"/>
        <w:rPr>
          <w:rFonts w:asciiTheme="majorHAnsi" w:hAnsiTheme="majorHAnsi"/>
          <w:szCs w:val="20"/>
        </w:rPr>
      </w:pPr>
      <w:r w:rsidRPr="00485364">
        <w:rPr>
          <w:rFonts w:asciiTheme="majorHAnsi" w:hAnsiTheme="majorHAnsi"/>
          <w:szCs w:val="20"/>
        </w:rPr>
        <w:t xml:space="preserve">• </w:t>
      </w:r>
      <w:r w:rsidRPr="00485364">
        <w:rPr>
          <w:rFonts w:asciiTheme="majorHAnsi" w:hAnsiTheme="majorHAnsi"/>
          <w:szCs w:val="20"/>
        </w:rPr>
        <w:tab/>
        <w:t>Public water (annual) documentation</w:t>
      </w:r>
    </w:p>
    <w:p w:rsidR="00BA682F" w:rsidRPr="00485364" w:rsidRDefault="00BA682F" w:rsidP="00BA682F">
      <w:pPr>
        <w:pStyle w:val="ListParagraph"/>
        <w:numPr>
          <w:ilvl w:val="0"/>
          <w:numId w:val="5"/>
        </w:numPr>
        <w:spacing w:after="0"/>
        <w:rPr>
          <w:rFonts w:asciiTheme="majorHAnsi" w:hAnsiTheme="majorHAnsi"/>
          <w:szCs w:val="20"/>
        </w:rPr>
      </w:pPr>
      <w:r w:rsidRPr="00485364">
        <w:rPr>
          <w:rFonts w:asciiTheme="majorHAnsi" w:hAnsiTheme="majorHAnsi"/>
          <w:szCs w:val="20"/>
        </w:rPr>
        <w:t xml:space="preserve">Scientific data or information you rely on to support the adequacy of a method used to treat water </w:t>
      </w:r>
    </w:p>
    <w:p w:rsidR="00BA682F" w:rsidRPr="00485364" w:rsidRDefault="00BA682F" w:rsidP="00BA682F">
      <w:pPr>
        <w:pStyle w:val="ListParagraph"/>
        <w:spacing w:after="0"/>
        <w:rPr>
          <w:rFonts w:asciiTheme="majorHAnsi" w:hAnsiTheme="majorHAnsi"/>
          <w:szCs w:val="20"/>
        </w:rPr>
      </w:pPr>
    </w:p>
    <w:p w:rsidR="00BA682F" w:rsidRPr="00485364" w:rsidRDefault="00BA682F" w:rsidP="00BA682F">
      <w:pPr>
        <w:spacing w:after="120"/>
        <w:rPr>
          <w:rFonts w:asciiTheme="majorHAnsi" w:hAnsiTheme="majorHAnsi"/>
          <w:b/>
          <w:szCs w:val="20"/>
        </w:rPr>
      </w:pPr>
      <w:r w:rsidRPr="00485364">
        <w:rPr>
          <w:rFonts w:asciiTheme="majorHAnsi" w:hAnsiTheme="majorHAnsi"/>
          <w:b/>
          <w:szCs w:val="20"/>
        </w:rPr>
        <w:t>For irrigation water that directly contacts harvestable portion:</w:t>
      </w:r>
    </w:p>
    <w:p w:rsidR="00BA682F" w:rsidRPr="00485364" w:rsidRDefault="00BA682F" w:rsidP="00BA682F">
      <w:pPr>
        <w:pStyle w:val="ListParagraph"/>
        <w:numPr>
          <w:ilvl w:val="0"/>
          <w:numId w:val="4"/>
        </w:numPr>
        <w:spacing w:after="0"/>
        <w:ind w:left="720"/>
        <w:rPr>
          <w:rFonts w:asciiTheme="majorHAnsi" w:hAnsiTheme="majorHAnsi"/>
          <w:szCs w:val="20"/>
        </w:rPr>
      </w:pPr>
      <w:r w:rsidRPr="00485364">
        <w:rPr>
          <w:rFonts w:asciiTheme="majorHAnsi" w:hAnsiTheme="majorHAnsi"/>
          <w:szCs w:val="20"/>
        </w:rPr>
        <w:t>Microbial die-off or removal rates, and scientific documentation of method</w:t>
      </w:r>
    </w:p>
    <w:p w:rsidR="00BA682F" w:rsidRPr="00485364" w:rsidRDefault="00BA682F" w:rsidP="00BA682F">
      <w:pPr>
        <w:pStyle w:val="ListParagraph"/>
        <w:numPr>
          <w:ilvl w:val="0"/>
          <w:numId w:val="4"/>
        </w:numPr>
        <w:spacing w:after="0"/>
        <w:ind w:left="720"/>
        <w:rPr>
          <w:rFonts w:asciiTheme="majorHAnsi" w:hAnsiTheme="majorHAnsi"/>
          <w:szCs w:val="20"/>
        </w:rPr>
      </w:pPr>
      <w:r w:rsidRPr="00485364">
        <w:rPr>
          <w:rFonts w:asciiTheme="majorHAnsi" w:hAnsiTheme="majorHAnsi"/>
          <w:szCs w:val="20"/>
        </w:rPr>
        <w:t>Scientific data or information you rely on to support a microbial die-off or removal rate</w:t>
      </w:r>
    </w:p>
    <w:p w:rsidR="00551CBF" w:rsidRPr="00485364" w:rsidRDefault="00BA682F" w:rsidP="002637BE">
      <w:pPr>
        <w:pStyle w:val="ListParagraph"/>
        <w:numPr>
          <w:ilvl w:val="0"/>
          <w:numId w:val="4"/>
        </w:numPr>
        <w:spacing w:after="0"/>
        <w:ind w:left="720"/>
        <w:rPr>
          <w:rFonts w:asciiTheme="majorHAnsi" w:hAnsiTheme="majorHAnsi"/>
        </w:rPr>
      </w:pPr>
      <w:r w:rsidRPr="00485364">
        <w:rPr>
          <w:rFonts w:asciiTheme="majorHAnsi" w:hAnsiTheme="majorHAnsi"/>
          <w:szCs w:val="20"/>
        </w:rPr>
        <w:t>Documentation of actions that support a microbial die-off or removal rate</w:t>
      </w:r>
    </w:p>
    <w:p w:rsidR="00551CBF" w:rsidRPr="00485364" w:rsidRDefault="00551CBF" w:rsidP="00551CBF">
      <w:pPr>
        <w:spacing w:after="0"/>
        <w:rPr>
          <w:rFonts w:asciiTheme="majorHAnsi" w:hAnsiTheme="majorHAnsi"/>
        </w:rPr>
      </w:pPr>
    </w:p>
    <w:p w:rsidR="00551CBF" w:rsidRPr="00485364" w:rsidRDefault="00551CBF" w:rsidP="00551CBF">
      <w:pPr>
        <w:spacing w:after="0"/>
        <w:rPr>
          <w:rFonts w:asciiTheme="majorHAnsi" w:hAnsiTheme="majorHAnsi"/>
        </w:rPr>
      </w:pPr>
    </w:p>
    <w:p w:rsidR="00551CBF" w:rsidRPr="00485364" w:rsidRDefault="00551CBF" w:rsidP="00551CBF">
      <w:pPr>
        <w:spacing w:after="0"/>
        <w:rPr>
          <w:rFonts w:asciiTheme="majorHAnsi" w:hAnsiTheme="majorHAnsi"/>
        </w:rPr>
      </w:pPr>
      <w:r w:rsidRPr="00485364">
        <w:rPr>
          <w:rFonts w:asciiTheme="majorHAnsi" w:hAnsiTheme="majorHAnsi"/>
        </w:rPr>
        <w:t>Additional Resources:</w:t>
      </w:r>
    </w:p>
    <w:p w:rsidR="00551CBF" w:rsidRPr="00485364" w:rsidRDefault="00551CBF" w:rsidP="00551CBF">
      <w:pPr>
        <w:spacing w:after="0"/>
        <w:rPr>
          <w:rFonts w:asciiTheme="majorHAnsi" w:hAnsiTheme="majorHAnsi"/>
        </w:rPr>
      </w:pPr>
      <w:r w:rsidRPr="00485364">
        <w:rPr>
          <w:rFonts w:asciiTheme="majorHAnsi" w:hAnsiTheme="majorHAnsi"/>
        </w:rPr>
        <w:t>http://sustainableagriculture.net/blog/produce-rule-analysis-part-1/</w:t>
      </w:r>
    </w:p>
    <w:p w:rsidR="00551CBF" w:rsidRPr="00485364" w:rsidRDefault="0088626E" w:rsidP="00551CBF">
      <w:pPr>
        <w:spacing w:after="0"/>
        <w:rPr>
          <w:rFonts w:asciiTheme="majorHAnsi" w:hAnsiTheme="majorHAnsi"/>
        </w:rPr>
      </w:pPr>
      <w:hyperlink r:id="rId10" w:history="1">
        <w:r w:rsidR="00551CBF" w:rsidRPr="00485364">
          <w:rPr>
            <w:rStyle w:val="Hyperlink"/>
            <w:rFonts w:asciiTheme="majorHAnsi" w:hAnsiTheme="majorHAnsi"/>
          </w:rPr>
          <w:t>http://sustainableagriculture.net/blog/produce-rule-analysis-part-2/</w:t>
        </w:r>
      </w:hyperlink>
    </w:p>
    <w:p w:rsidR="002637BE" w:rsidRPr="00485364" w:rsidRDefault="00551CBF" w:rsidP="00551CBF">
      <w:pPr>
        <w:spacing w:after="0"/>
        <w:rPr>
          <w:rFonts w:asciiTheme="majorHAnsi" w:hAnsiTheme="majorHAnsi"/>
        </w:rPr>
      </w:pPr>
      <w:r w:rsidRPr="00485364">
        <w:rPr>
          <w:rFonts w:asciiTheme="majorHAnsi" w:hAnsiTheme="majorHAnsi"/>
        </w:rPr>
        <w:t>http://www.fda.gov/downloads/Food/GuidanceRegulation/FSMA/UCM472887.pdf</w:t>
      </w:r>
    </w:p>
    <w:sectPr w:rsidR="002637BE" w:rsidRPr="00485364" w:rsidSect="002637BE">
      <w:footerReference w:type="even" r:id="rId11"/>
      <w:footerReference w:type="default" r:id="rId12"/>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66" w:rsidRDefault="0088626E" w:rsidP="0070064B">
    <w:pPr>
      <w:pStyle w:val="Footer"/>
      <w:framePr w:wrap="around" w:vAnchor="text" w:hAnchor="margin" w:xAlign="right" w:y="1"/>
      <w:rPr>
        <w:rStyle w:val="PageNumber"/>
      </w:rPr>
    </w:pPr>
    <w:r>
      <w:rPr>
        <w:rStyle w:val="PageNumber"/>
      </w:rPr>
      <w:fldChar w:fldCharType="begin"/>
    </w:r>
    <w:r w:rsidR="00061A66">
      <w:rPr>
        <w:rStyle w:val="PageNumber"/>
      </w:rPr>
      <w:instrText xml:space="preserve">PAGE  </w:instrText>
    </w:r>
    <w:r>
      <w:rPr>
        <w:rStyle w:val="PageNumber"/>
      </w:rPr>
      <w:fldChar w:fldCharType="end"/>
    </w:r>
  </w:p>
  <w:p w:rsidR="00061A66" w:rsidRDefault="00061A66" w:rsidP="003D08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66" w:rsidRDefault="0088626E" w:rsidP="0070064B">
    <w:pPr>
      <w:pStyle w:val="Footer"/>
      <w:framePr w:wrap="around" w:vAnchor="text" w:hAnchor="margin" w:xAlign="right" w:y="1"/>
      <w:rPr>
        <w:rStyle w:val="PageNumber"/>
      </w:rPr>
    </w:pPr>
    <w:r>
      <w:rPr>
        <w:rStyle w:val="PageNumber"/>
      </w:rPr>
      <w:fldChar w:fldCharType="begin"/>
    </w:r>
    <w:r w:rsidR="00061A66">
      <w:rPr>
        <w:rStyle w:val="PageNumber"/>
      </w:rPr>
      <w:instrText xml:space="preserve">PAGE  </w:instrText>
    </w:r>
    <w:r>
      <w:rPr>
        <w:rStyle w:val="PageNumber"/>
      </w:rPr>
      <w:fldChar w:fldCharType="separate"/>
    </w:r>
    <w:r w:rsidR="00C334D3">
      <w:rPr>
        <w:rStyle w:val="PageNumber"/>
        <w:noProof/>
      </w:rPr>
      <w:t>4</w:t>
    </w:r>
    <w:r>
      <w:rPr>
        <w:rStyle w:val="PageNumber"/>
      </w:rPr>
      <w:fldChar w:fldCharType="end"/>
    </w:r>
  </w:p>
  <w:p w:rsidR="00061A66" w:rsidRDefault="00061A6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952"/>
    <w:multiLevelType w:val="multilevel"/>
    <w:tmpl w:val="0E7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F6F0A"/>
    <w:multiLevelType w:val="hybridMultilevel"/>
    <w:tmpl w:val="0852A8A8"/>
    <w:lvl w:ilvl="0" w:tplc="C564199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B2DF7"/>
    <w:multiLevelType w:val="hybridMultilevel"/>
    <w:tmpl w:val="DDEC3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1792E"/>
    <w:multiLevelType w:val="hybridMultilevel"/>
    <w:tmpl w:val="AC9C8CB8"/>
    <w:lvl w:ilvl="0" w:tplc="C33A05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3036D6"/>
    <w:multiLevelType w:val="multilevel"/>
    <w:tmpl w:val="DB82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D6F97"/>
    <w:multiLevelType w:val="multilevel"/>
    <w:tmpl w:val="DDC2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D61928"/>
    <w:multiLevelType w:val="multilevel"/>
    <w:tmpl w:val="DDC2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BF1E7C"/>
    <w:multiLevelType w:val="multilevel"/>
    <w:tmpl w:val="DDC2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D60E9F"/>
    <w:multiLevelType w:val="hybridMultilevel"/>
    <w:tmpl w:val="1E90E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67120B"/>
    <w:multiLevelType w:val="hybridMultilevel"/>
    <w:tmpl w:val="986AC0DE"/>
    <w:lvl w:ilvl="0" w:tplc="FC725296">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C433C"/>
    <w:multiLevelType w:val="multilevel"/>
    <w:tmpl w:val="DDC2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2D24D6"/>
    <w:multiLevelType w:val="hybridMultilevel"/>
    <w:tmpl w:val="C4C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70D95"/>
    <w:multiLevelType w:val="hybridMultilevel"/>
    <w:tmpl w:val="2CF893C2"/>
    <w:lvl w:ilvl="0" w:tplc="AF3C02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6144C7"/>
    <w:multiLevelType w:val="hybridMultilevel"/>
    <w:tmpl w:val="A118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B4C13"/>
    <w:multiLevelType w:val="hybridMultilevel"/>
    <w:tmpl w:val="966E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11"/>
  </w:num>
  <w:num w:numId="6">
    <w:abstractNumId w:val="5"/>
  </w:num>
  <w:num w:numId="7">
    <w:abstractNumId w:val="14"/>
  </w:num>
  <w:num w:numId="8">
    <w:abstractNumId w:val="10"/>
  </w:num>
  <w:num w:numId="9">
    <w:abstractNumId w:val="13"/>
  </w:num>
  <w:num w:numId="10">
    <w:abstractNumId w:val="9"/>
  </w:num>
  <w:num w:numId="11">
    <w:abstractNumId w:val="2"/>
  </w:num>
  <w:num w:numId="12">
    <w:abstractNumId w:val="1"/>
  </w:num>
  <w:num w:numId="13">
    <w:abstractNumId w:val="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052]" strokecolor="none [3052]"/>
    </o:shapedefaults>
  </w:hdrShapeDefaults>
  <w:compat>
    <w:doNotAutofitConstrainedTables/>
    <w:splitPgBreakAndParaMark/>
    <w:doNotVertAlignCellWithSp/>
    <w:doNotBreakConstrainedForcedTable/>
    <w:useAnsiKerningPairs/>
    <w:cachedColBalance/>
  </w:compat>
  <w:rsids>
    <w:rsidRoot w:val="002637BE"/>
    <w:rsid w:val="00001210"/>
    <w:rsid w:val="000274A4"/>
    <w:rsid w:val="00061A66"/>
    <w:rsid w:val="000A09DB"/>
    <w:rsid w:val="000B6A7C"/>
    <w:rsid w:val="000D091D"/>
    <w:rsid w:val="000F7850"/>
    <w:rsid w:val="00107D23"/>
    <w:rsid w:val="001106B7"/>
    <w:rsid w:val="0012653B"/>
    <w:rsid w:val="001A77D7"/>
    <w:rsid w:val="001B5ED2"/>
    <w:rsid w:val="002637BE"/>
    <w:rsid w:val="003316FA"/>
    <w:rsid w:val="00340CC1"/>
    <w:rsid w:val="003655C0"/>
    <w:rsid w:val="003B63AC"/>
    <w:rsid w:val="003D089A"/>
    <w:rsid w:val="00410415"/>
    <w:rsid w:val="00417E7B"/>
    <w:rsid w:val="00485364"/>
    <w:rsid w:val="004C275D"/>
    <w:rsid w:val="0051260E"/>
    <w:rsid w:val="00551CBF"/>
    <w:rsid w:val="005F21E2"/>
    <w:rsid w:val="00604FDD"/>
    <w:rsid w:val="00684655"/>
    <w:rsid w:val="00691CD8"/>
    <w:rsid w:val="006B769B"/>
    <w:rsid w:val="006C7DAF"/>
    <w:rsid w:val="0070064B"/>
    <w:rsid w:val="007065C0"/>
    <w:rsid w:val="007877D9"/>
    <w:rsid w:val="007F160D"/>
    <w:rsid w:val="008601FC"/>
    <w:rsid w:val="00884722"/>
    <w:rsid w:val="0088626E"/>
    <w:rsid w:val="008A0BAE"/>
    <w:rsid w:val="008A4A82"/>
    <w:rsid w:val="008D161B"/>
    <w:rsid w:val="00910AB2"/>
    <w:rsid w:val="00931967"/>
    <w:rsid w:val="009763B8"/>
    <w:rsid w:val="009E4F02"/>
    <w:rsid w:val="009F616B"/>
    <w:rsid w:val="00A50500"/>
    <w:rsid w:val="00A549E6"/>
    <w:rsid w:val="00A87933"/>
    <w:rsid w:val="00AF34D7"/>
    <w:rsid w:val="00B360B0"/>
    <w:rsid w:val="00B45EC8"/>
    <w:rsid w:val="00BA682F"/>
    <w:rsid w:val="00BB03D7"/>
    <w:rsid w:val="00C00969"/>
    <w:rsid w:val="00C035F3"/>
    <w:rsid w:val="00C334D3"/>
    <w:rsid w:val="00C36C65"/>
    <w:rsid w:val="00C9171F"/>
    <w:rsid w:val="00D23FD6"/>
    <w:rsid w:val="00D33C53"/>
    <w:rsid w:val="00DE645D"/>
    <w:rsid w:val="00E32D24"/>
    <w:rsid w:val="00E77352"/>
    <w:rsid w:val="00E91514"/>
    <w:rsid w:val="00EA212C"/>
    <w:rsid w:val="00EF74CF"/>
    <w:rsid w:val="00F0030C"/>
    <w:rsid w:val="00F304E5"/>
    <w:rsid w:val="00FC566A"/>
    <w:rsid w:val="00FD6652"/>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sdException w:name="List Paragraph" w:uiPriority="34" w:qFormat="1"/>
  </w:latentStyles>
  <w:style w:type="paragraph" w:default="1" w:styleId="Normal">
    <w:name w:val="Normal"/>
    <w:qFormat/>
    <w:rsid w:val="00666B29"/>
  </w:style>
  <w:style w:type="paragraph" w:styleId="Heading2">
    <w:name w:val="heading 2"/>
    <w:basedOn w:val="Normal"/>
    <w:next w:val="Normal"/>
    <w:link w:val="Heading2Char"/>
    <w:rsid w:val="00910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2637BE"/>
    <w:pPr>
      <w:spacing w:beforeLines="1" w:afterLines="1"/>
      <w:outlineLvl w:val="2"/>
    </w:pPr>
    <w:rPr>
      <w:rFonts w:ascii="Times" w:hAnsi="Times"/>
      <w:b/>
      <w:sz w:val="27"/>
      <w:szCs w:val="20"/>
    </w:rPr>
  </w:style>
  <w:style w:type="paragraph" w:styleId="Heading4">
    <w:name w:val="heading 4"/>
    <w:basedOn w:val="Normal"/>
    <w:link w:val="Heading4Char"/>
    <w:uiPriority w:val="9"/>
    <w:rsid w:val="002637BE"/>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637BE"/>
    <w:rPr>
      <w:rFonts w:ascii="Times" w:hAnsi="Times"/>
      <w:b/>
      <w:sz w:val="27"/>
      <w:szCs w:val="20"/>
    </w:rPr>
  </w:style>
  <w:style w:type="character" w:customStyle="1" w:styleId="Heading4Char">
    <w:name w:val="Heading 4 Char"/>
    <w:basedOn w:val="DefaultParagraphFont"/>
    <w:link w:val="Heading4"/>
    <w:uiPriority w:val="9"/>
    <w:rsid w:val="002637BE"/>
    <w:rPr>
      <w:rFonts w:ascii="Times" w:hAnsi="Times"/>
      <w:b/>
      <w:szCs w:val="20"/>
    </w:rPr>
  </w:style>
  <w:style w:type="character" w:styleId="Emphasis">
    <w:name w:val="Emphasis"/>
    <w:basedOn w:val="DefaultParagraphFont"/>
    <w:uiPriority w:val="20"/>
    <w:rsid w:val="002637BE"/>
    <w:rPr>
      <w:i/>
    </w:rPr>
  </w:style>
  <w:style w:type="character" w:customStyle="1" w:styleId="apple-converted-space">
    <w:name w:val="apple-converted-space"/>
    <w:basedOn w:val="DefaultParagraphFont"/>
    <w:rsid w:val="002637BE"/>
  </w:style>
  <w:style w:type="character" w:styleId="Strong">
    <w:name w:val="Strong"/>
    <w:basedOn w:val="DefaultParagraphFont"/>
    <w:uiPriority w:val="22"/>
    <w:rsid w:val="002637BE"/>
    <w:rPr>
      <w:b/>
    </w:rPr>
  </w:style>
  <w:style w:type="paragraph" w:styleId="ListParagraph">
    <w:name w:val="List Paragraph"/>
    <w:basedOn w:val="Normal"/>
    <w:uiPriority w:val="34"/>
    <w:qFormat/>
    <w:rsid w:val="002637BE"/>
    <w:pPr>
      <w:ind w:left="720"/>
      <w:contextualSpacing/>
    </w:pPr>
  </w:style>
  <w:style w:type="table" w:styleId="TableGrid">
    <w:name w:val="Table Grid"/>
    <w:basedOn w:val="TableNormal"/>
    <w:rsid w:val="00417E7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D089A"/>
    <w:pPr>
      <w:tabs>
        <w:tab w:val="center" w:pos="4320"/>
        <w:tab w:val="right" w:pos="8640"/>
      </w:tabs>
      <w:spacing w:after="0"/>
    </w:pPr>
  </w:style>
  <w:style w:type="character" w:customStyle="1" w:styleId="HeaderChar">
    <w:name w:val="Header Char"/>
    <w:basedOn w:val="DefaultParagraphFont"/>
    <w:link w:val="Header"/>
    <w:rsid w:val="003D089A"/>
  </w:style>
  <w:style w:type="paragraph" w:styleId="Footer">
    <w:name w:val="footer"/>
    <w:basedOn w:val="Normal"/>
    <w:link w:val="FooterChar"/>
    <w:rsid w:val="003D089A"/>
    <w:pPr>
      <w:tabs>
        <w:tab w:val="center" w:pos="4320"/>
        <w:tab w:val="right" w:pos="8640"/>
      </w:tabs>
      <w:spacing w:after="0"/>
    </w:pPr>
  </w:style>
  <w:style w:type="character" w:customStyle="1" w:styleId="FooterChar">
    <w:name w:val="Footer Char"/>
    <w:basedOn w:val="DefaultParagraphFont"/>
    <w:link w:val="Footer"/>
    <w:rsid w:val="003D089A"/>
  </w:style>
  <w:style w:type="character" w:styleId="PageNumber">
    <w:name w:val="page number"/>
    <w:basedOn w:val="DefaultParagraphFont"/>
    <w:rsid w:val="003D089A"/>
  </w:style>
  <w:style w:type="paragraph" w:styleId="NormalWeb">
    <w:name w:val="Normal (Web)"/>
    <w:basedOn w:val="Normal"/>
    <w:uiPriority w:val="99"/>
    <w:rsid w:val="00C9171F"/>
    <w:pPr>
      <w:spacing w:beforeLines="1" w:afterLines="1"/>
    </w:pPr>
    <w:rPr>
      <w:rFonts w:ascii="Times" w:hAnsi="Times" w:cs="Times New Roman"/>
      <w:sz w:val="20"/>
      <w:szCs w:val="20"/>
    </w:rPr>
  </w:style>
  <w:style w:type="character" w:styleId="Hyperlink">
    <w:name w:val="Hyperlink"/>
    <w:basedOn w:val="DefaultParagraphFont"/>
    <w:uiPriority w:val="99"/>
    <w:rsid w:val="00C9171F"/>
    <w:rPr>
      <w:color w:val="0000FF"/>
      <w:u w:val="single"/>
    </w:rPr>
  </w:style>
  <w:style w:type="character" w:customStyle="1" w:styleId="Heading2Char">
    <w:name w:val="Heading 2 Char"/>
    <w:basedOn w:val="DefaultParagraphFont"/>
    <w:link w:val="Heading2"/>
    <w:rsid w:val="00910AB2"/>
    <w:rPr>
      <w:rFonts w:asciiTheme="majorHAnsi" w:eastAsiaTheme="majorEastAsia" w:hAnsiTheme="majorHAnsi" w:cstheme="majorBidi"/>
      <w:b/>
      <w:bCs/>
      <w:color w:val="4F81BD" w:themeColor="accent1"/>
      <w:sz w:val="26"/>
      <w:szCs w:val="26"/>
    </w:rPr>
  </w:style>
  <w:style w:type="character" w:customStyle="1" w:styleId="trigger">
    <w:name w:val="trigger"/>
    <w:basedOn w:val="DefaultParagraphFont"/>
    <w:rsid w:val="00910AB2"/>
  </w:style>
</w:styles>
</file>

<file path=word/webSettings.xml><?xml version="1.0" encoding="utf-8"?>
<w:webSettings xmlns:r="http://schemas.openxmlformats.org/officeDocument/2006/relationships" xmlns:w="http://schemas.openxmlformats.org/wordprocessingml/2006/main">
  <w:divs>
    <w:div w:id="33192164">
      <w:bodyDiv w:val="1"/>
      <w:marLeft w:val="0"/>
      <w:marRight w:val="0"/>
      <w:marTop w:val="0"/>
      <w:marBottom w:val="0"/>
      <w:divBdr>
        <w:top w:val="none" w:sz="0" w:space="0" w:color="auto"/>
        <w:left w:val="none" w:sz="0" w:space="0" w:color="auto"/>
        <w:bottom w:val="none" w:sz="0" w:space="0" w:color="auto"/>
        <w:right w:val="none" w:sz="0" w:space="0" w:color="auto"/>
      </w:divBdr>
    </w:div>
    <w:div w:id="114299887">
      <w:bodyDiv w:val="1"/>
      <w:marLeft w:val="0"/>
      <w:marRight w:val="0"/>
      <w:marTop w:val="0"/>
      <w:marBottom w:val="0"/>
      <w:divBdr>
        <w:top w:val="none" w:sz="0" w:space="0" w:color="auto"/>
        <w:left w:val="none" w:sz="0" w:space="0" w:color="auto"/>
        <w:bottom w:val="none" w:sz="0" w:space="0" w:color="auto"/>
        <w:right w:val="none" w:sz="0" w:space="0" w:color="auto"/>
      </w:divBdr>
    </w:div>
    <w:div w:id="158007332">
      <w:bodyDiv w:val="1"/>
      <w:marLeft w:val="0"/>
      <w:marRight w:val="0"/>
      <w:marTop w:val="0"/>
      <w:marBottom w:val="0"/>
      <w:divBdr>
        <w:top w:val="none" w:sz="0" w:space="0" w:color="auto"/>
        <w:left w:val="none" w:sz="0" w:space="0" w:color="auto"/>
        <w:bottom w:val="none" w:sz="0" w:space="0" w:color="auto"/>
        <w:right w:val="none" w:sz="0" w:space="0" w:color="auto"/>
      </w:divBdr>
    </w:div>
    <w:div w:id="179048968">
      <w:bodyDiv w:val="1"/>
      <w:marLeft w:val="0"/>
      <w:marRight w:val="0"/>
      <w:marTop w:val="0"/>
      <w:marBottom w:val="0"/>
      <w:divBdr>
        <w:top w:val="none" w:sz="0" w:space="0" w:color="auto"/>
        <w:left w:val="none" w:sz="0" w:space="0" w:color="auto"/>
        <w:bottom w:val="none" w:sz="0" w:space="0" w:color="auto"/>
        <w:right w:val="none" w:sz="0" w:space="0" w:color="auto"/>
      </w:divBdr>
    </w:div>
    <w:div w:id="366025703">
      <w:bodyDiv w:val="1"/>
      <w:marLeft w:val="0"/>
      <w:marRight w:val="0"/>
      <w:marTop w:val="0"/>
      <w:marBottom w:val="0"/>
      <w:divBdr>
        <w:top w:val="none" w:sz="0" w:space="0" w:color="auto"/>
        <w:left w:val="none" w:sz="0" w:space="0" w:color="auto"/>
        <w:bottom w:val="none" w:sz="0" w:space="0" w:color="auto"/>
        <w:right w:val="none" w:sz="0" w:space="0" w:color="auto"/>
      </w:divBdr>
      <w:divsChild>
        <w:div w:id="1312254634">
          <w:blockQuote w:val="1"/>
          <w:marLeft w:val="0"/>
          <w:marRight w:val="0"/>
          <w:marTop w:val="0"/>
          <w:marBottom w:val="0"/>
          <w:divBdr>
            <w:top w:val="none" w:sz="0" w:space="0" w:color="auto"/>
            <w:left w:val="single" w:sz="24" w:space="15" w:color="EEEEEE"/>
            <w:bottom w:val="none" w:sz="0" w:space="0" w:color="auto"/>
            <w:right w:val="none" w:sz="0" w:space="0" w:color="auto"/>
          </w:divBdr>
        </w:div>
      </w:divsChild>
    </w:div>
    <w:div w:id="472912935">
      <w:bodyDiv w:val="1"/>
      <w:marLeft w:val="0"/>
      <w:marRight w:val="0"/>
      <w:marTop w:val="0"/>
      <w:marBottom w:val="0"/>
      <w:divBdr>
        <w:top w:val="none" w:sz="0" w:space="0" w:color="auto"/>
        <w:left w:val="none" w:sz="0" w:space="0" w:color="auto"/>
        <w:bottom w:val="none" w:sz="0" w:space="0" w:color="auto"/>
        <w:right w:val="none" w:sz="0" w:space="0" w:color="auto"/>
      </w:divBdr>
    </w:div>
    <w:div w:id="494684891">
      <w:bodyDiv w:val="1"/>
      <w:marLeft w:val="0"/>
      <w:marRight w:val="0"/>
      <w:marTop w:val="0"/>
      <w:marBottom w:val="0"/>
      <w:divBdr>
        <w:top w:val="none" w:sz="0" w:space="0" w:color="auto"/>
        <w:left w:val="none" w:sz="0" w:space="0" w:color="auto"/>
        <w:bottom w:val="none" w:sz="0" w:space="0" w:color="auto"/>
        <w:right w:val="none" w:sz="0" w:space="0" w:color="auto"/>
      </w:divBdr>
    </w:div>
    <w:div w:id="562985769">
      <w:bodyDiv w:val="1"/>
      <w:marLeft w:val="0"/>
      <w:marRight w:val="0"/>
      <w:marTop w:val="0"/>
      <w:marBottom w:val="0"/>
      <w:divBdr>
        <w:top w:val="none" w:sz="0" w:space="0" w:color="auto"/>
        <w:left w:val="none" w:sz="0" w:space="0" w:color="auto"/>
        <w:bottom w:val="none" w:sz="0" w:space="0" w:color="auto"/>
        <w:right w:val="none" w:sz="0" w:space="0" w:color="auto"/>
      </w:divBdr>
      <w:divsChild>
        <w:div w:id="1086193678">
          <w:blockQuote w:val="1"/>
          <w:marLeft w:val="0"/>
          <w:marRight w:val="0"/>
          <w:marTop w:val="0"/>
          <w:marBottom w:val="0"/>
          <w:divBdr>
            <w:top w:val="none" w:sz="0" w:space="0" w:color="auto"/>
            <w:left w:val="single" w:sz="24" w:space="15" w:color="EEEEEE"/>
            <w:bottom w:val="none" w:sz="0" w:space="0" w:color="auto"/>
            <w:right w:val="none" w:sz="0" w:space="0" w:color="auto"/>
          </w:divBdr>
        </w:div>
      </w:divsChild>
    </w:div>
    <w:div w:id="729501702">
      <w:bodyDiv w:val="1"/>
      <w:marLeft w:val="0"/>
      <w:marRight w:val="0"/>
      <w:marTop w:val="0"/>
      <w:marBottom w:val="0"/>
      <w:divBdr>
        <w:top w:val="none" w:sz="0" w:space="0" w:color="auto"/>
        <w:left w:val="none" w:sz="0" w:space="0" w:color="auto"/>
        <w:bottom w:val="none" w:sz="0" w:space="0" w:color="auto"/>
        <w:right w:val="none" w:sz="0" w:space="0" w:color="auto"/>
      </w:divBdr>
    </w:div>
    <w:div w:id="773524402">
      <w:bodyDiv w:val="1"/>
      <w:marLeft w:val="0"/>
      <w:marRight w:val="0"/>
      <w:marTop w:val="0"/>
      <w:marBottom w:val="0"/>
      <w:divBdr>
        <w:top w:val="none" w:sz="0" w:space="0" w:color="auto"/>
        <w:left w:val="none" w:sz="0" w:space="0" w:color="auto"/>
        <w:bottom w:val="none" w:sz="0" w:space="0" w:color="auto"/>
        <w:right w:val="none" w:sz="0" w:space="0" w:color="auto"/>
      </w:divBdr>
    </w:div>
    <w:div w:id="862478939">
      <w:bodyDiv w:val="1"/>
      <w:marLeft w:val="0"/>
      <w:marRight w:val="0"/>
      <w:marTop w:val="0"/>
      <w:marBottom w:val="0"/>
      <w:divBdr>
        <w:top w:val="none" w:sz="0" w:space="0" w:color="auto"/>
        <w:left w:val="none" w:sz="0" w:space="0" w:color="auto"/>
        <w:bottom w:val="none" w:sz="0" w:space="0" w:color="auto"/>
        <w:right w:val="none" w:sz="0" w:space="0" w:color="auto"/>
      </w:divBdr>
    </w:div>
    <w:div w:id="868102327">
      <w:bodyDiv w:val="1"/>
      <w:marLeft w:val="0"/>
      <w:marRight w:val="0"/>
      <w:marTop w:val="0"/>
      <w:marBottom w:val="0"/>
      <w:divBdr>
        <w:top w:val="none" w:sz="0" w:space="0" w:color="auto"/>
        <w:left w:val="none" w:sz="0" w:space="0" w:color="auto"/>
        <w:bottom w:val="none" w:sz="0" w:space="0" w:color="auto"/>
        <w:right w:val="none" w:sz="0" w:space="0" w:color="auto"/>
      </w:divBdr>
    </w:div>
    <w:div w:id="888145969">
      <w:bodyDiv w:val="1"/>
      <w:marLeft w:val="0"/>
      <w:marRight w:val="0"/>
      <w:marTop w:val="0"/>
      <w:marBottom w:val="0"/>
      <w:divBdr>
        <w:top w:val="none" w:sz="0" w:space="0" w:color="auto"/>
        <w:left w:val="none" w:sz="0" w:space="0" w:color="auto"/>
        <w:bottom w:val="none" w:sz="0" w:space="0" w:color="auto"/>
        <w:right w:val="none" w:sz="0" w:space="0" w:color="auto"/>
      </w:divBdr>
    </w:div>
    <w:div w:id="964122803">
      <w:bodyDiv w:val="1"/>
      <w:marLeft w:val="0"/>
      <w:marRight w:val="0"/>
      <w:marTop w:val="0"/>
      <w:marBottom w:val="0"/>
      <w:divBdr>
        <w:top w:val="none" w:sz="0" w:space="0" w:color="auto"/>
        <w:left w:val="none" w:sz="0" w:space="0" w:color="auto"/>
        <w:bottom w:val="none" w:sz="0" w:space="0" w:color="auto"/>
        <w:right w:val="none" w:sz="0" w:space="0" w:color="auto"/>
      </w:divBdr>
    </w:div>
    <w:div w:id="1035034600">
      <w:bodyDiv w:val="1"/>
      <w:marLeft w:val="0"/>
      <w:marRight w:val="0"/>
      <w:marTop w:val="0"/>
      <w:marBottom w:val="0"/>
      <w:divBdr>
        <w:top w:val="none" w:sz="0" w:space="0" w:color="auto"/>
        <w:left w:val="none" w:sz="0" w:space="0" w:color="auto"/>
        <w:bottom w:val="none" w:sz="0" w:space="0" w:color="auto"/>
        <w:right w:val="none" w:sz="0" w:space="0" w:color="auto"/>
      </w:divBdr>
      <w:divsChild>
        <w:div w:id="1568763446">
          <w:marLeft w:val="867"/>
          <w:marRight w:val="0"/>
          <w:marTop w:val="0"/>
          <w:marBottom w:val="0"/>
          <w:divBdr>
            <w:top w:val="none" w:sz="0" w:space="0" w:color="auto"/>
            <w:left w:val="none" w:sz="0" w:space="0" w:color="auto"/>
            <w:bottom w:val="none" w:sz="0" w:space="0" w:color="auto"/>
            <w:right w:val="none" w:sz="0" w:space="0" w:color="auto"/>
          </w:divBdr>
        </w:div>
      </w:divsChild>
    </w:div>
    <w:div w:id="1041515700">
      <w:bodyDiv w:val="1"/>
      <w:marLeft w:val="0"/>
      <w:marRight w:val="0"/>
      <w:marTop w:val="0"/>
      <w:marBottom w:val="0"/>
      <w:divBdr>
        <w:top w:val="none" w:sz="0" w:space="0" w:color="auto"/>
        <w:left w:val="none" w:sz="0" w:space="0" w:color="auto"/>
        <w:bottom w:val="none" w:sz="0" w:space="0" w:color="auto"/>
        <w:right w:val="none" w:sz="0" w:space="0" w:color="auto"/>
      </w:divBdr>
    </w:div>
    <w:div w:id="1059087936">
      <w:bodyDiv w:val="1"/>
      <w:marLeft w:val="0"/>
      <w:marRight w:val="0"/>
      <w:marTop w:val="0"/>
      <w:marBottom w:val="0"/>
      <w:divBdr>
        <w:top w:val="none" w:sz="0" w:space="0" w:color="auto"/>
        <w:left w:val="none" w:sz="0" w:space="0" w:color="auto"/>
        <w:bottom w:val="none" w:sz="0" w:space="0" w:color="auto"/>
        <w:right w:val="none" w:sz="0" w:space="0" w:color="auto"/>
      </w:divBdr>
    </w:div>
    <w:div w:id="1330018222">
      <w:bodyDiv w:val="1"/>
      <w:marLeft w:val="0"/>
      <w:marRight w:val="0"/>
      <w:marTop w:val="0"/>
      <w:marBottom w:val="0"/>
      <w:divBdr>
        <w:top w:val="none" w:sz="0" w:space="0" w:color="auto"/>
        <w:left w:val="none" w:sz="0" w:space="0" w:color="auto"/>
        <w:bottom w:val="none" w:sz="0" w:space="0" w:color="auto"/>
        <w:right w:val="none" w:sz="0" w:space="0" w:color="auto"/>
      </w:divBdr>
    </w:div>
    <w:div w:id="1448233646">
      <w:bodyDiv w:val="1"/>
      <w:marLeft w:val="0"/>
      <w:marRight w:val="0"/>
      <w:marTop w:val="0"/>
      <w:marBottom w:val="0"/>
      <w:divBdr>
        <w:top w:val="none" w:sz="0" w:space="0" w:color="auto"/>
        <w:left w:val="none" w:sz="0" w:space="0" w:color="auto"/>
        <w:bottom w:val="none" w:sz="0" w:space="0" w:color="auto"/>
        <w:right w:val="none" w:sz="0" w:space="0" w:color="auto"/>
      </w:divBdr>
    </w:div>
    <w:div w:id="1512645199">
      <w:bodyDiv w:val="1"/>
      <w:marLeft w:val="0"/>
      <w:marRight w:val="0"/>
      <w:marTop w:val="0"/>
      <w:marBottom w:val="0"/>
      <w:divBdr>
        <w:top w:val="none" w:sz="0" w:space="0" w:color="auto"/>
        <w:left w:val="none" w:sz="0" w:space="0" w:color="auto"/>
        <w:bottom w:val="none" w:sz="0" w:space="0" w:color="auto"/>
        <w:right w:val="none" w:sz="0" w:space="0" w:color="auto"/>
      </w:divBdr>
    </w:div>
    <w:div w:id="1546671467">
      <w:bodyDiv w:val="1"/>
      <w:marLeft w:val="0"/>
      <w:marRight w:val="0"/>
      <w:marTop w:val="0"/>
      <w:marBottom w:val="0"/>
      <w:divBdr>
        <w:top w:val="none" w:sz="0" w:space="0" w:color="auto"/>
        <w:left w:val="none" w:sz="0" w:space="0" w:color="auto"/>
        <w:bottom w:val="none" w:sz="0" w:space="0" w:color="auto"/>
        <w:right w:val="none" w:sz="0" w:space="0" w:color="auto"/>
      </w:divBdr>
    </w:div>
    <w:div w:id="1584022013">
      <w:bodyDiv w:val="1"/>
      <w:marLeft w:val="0"/>
      <w:marRight w:val="0"/>
      <w:marTop w:val="0"/>
      <w:marBottom w:val="0"/>
      <w:divBdr>
        <w:top w:val="none" w:sz="0" w:space="0" w:color="auto"/>
        <w:left w:val="none" w:sz="0" w:space="0" w:color="auto"/>
        <w:bottom w:val="none" w:sz="0" w:space="0" w:color="auto"/>
        <w:right w:val="none" w:sz="0" w:space="0" w:color="auto"/>
      </w:divBdr>
    </w:div>
    <w:div w:id="1713456848">
      <w:bodyDiv w:val="1"/>
      <w:marLeft w:val="0"/>
      <w:marRight w:val="0"/>
      <w:marTop w:val="0"/>
      <w:marBottom w:val="0"/>
      <w:divBdr>
        <w:top w:val="none" w:sz="0" w:space="0" w:color="auto"/>
        <w:left w:val="none" w:sz="0" w:space="0" w:color="auto"/>
        <w:bottom w:val="none" w:sz="0" w:space="0" w:color="auto"/>
        <w:right w:val="none" w:sz="0" w:space="0" w:color="auto"/>
      </w:divBdr>
    </w:div>
    <w:div w:id="2025356457">
      <w:bodyDiv w:val="1"/>
      <w:marLeft w:val="0"/>
      <w:marRight w:val="0"/>
      <w:marTop w:val="0"/>
      <w:marBottom w:val="0"/>
      <w:divBdr>
        <w:top w:val="none" w:sz="0" w:space="0" w:color="auto"/>
        <w:left w:val="none" w:sz="0" w:space="0" w:color="auto"/>
        <w:bottom w:val="none" w:sz="0" w:space="0" w:color="auto"/>
        <w:right w:val="none" w:sz="0" w:space="0" w:color="auto"/>
      </w:divBdr>
    </w:div>
    <w:div w:id="2124302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ederalregister.gov/articles/2015/11/27/2015-28159/standards-for-the-growing-harvesting-packing-and-holding-of-produce-for-human-consumption" TargetMode="External"/><Relationship Id="rId6" Type="http://schemas.openxmlformats.org/officeDocument/2006/relationships/hyperlink" Target="http://www.fda.gov/Food/GuidanceRegulation/FSMA/ucm472501.htm" TargetMode="External"/><Relationship Id="rId7" Type="http://schemas.openxmlformats.org/officeDocument/2006/relationships/hyperlink" Target="http://sustainableagriculture.net/" TargetMode="External"/><Relationship Id="rId8" Type="http://schemas.openxmlformats.org/officeDocument/2006/relationships/hyperlink" Target="https://www.federalregister.gov/articles/2015/11/27/2015-28159/standards-for-the-growing-harvesting-packing-and-holding-of-produce-for-human-consumption" TargetMode="External"/><Relationship Id="rId9" Type="http://schemas.openxmlformats.org/officeDocument/2006/relationships/hyperlink" Target="https://www.federalregister.gov/articles/2015/11/27/2015-28159/standards-for-the-growing-harvesting-packing-and-holding-of-produce-for-human-consumption" TargetMode="External"/><Relationship Id="rId10" Type="http://schemas.openxmlformats.org/officeDocument/2006/relationships/hyperlink" Target="http://sustainableagriculture.net/blog/produce-rule-analysis-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8898</Characters>
  <Application>Microsoft Macintosh Word</Application>
  <DocSecurity>0</DocSecurity>
  <Lines>74</Lines>
  <Paragraphs>17</Paragraphs>
  <ScaleCrop>false</ScaleCrop>
  <Company>Organic FarmingWorks</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2</cp:revision>
  <cp:lastPrinted>2015-12-16T17:31:00Z</cp:lastPrinted>
  <dcterms:created xsi:type="dcterms:W3CDTF">2016-03-19T21:59:00Z</dcterms:created>
  <dcterms:modified xsi:type="dcterms:W3CDTF">2016-03-19T21:59:00Z</dcterms:modified>
</cp:coreProperties>
</file>